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5FF6" w14:textId="77777777" w:rsidR="00001D54" w:rsidRPr="00DD04A7" w:rsidRDefault="002F5A96" w:rsidP="00001D54">
      <w:pPr>
        <w:pStyle w:val="Title"/>
        <w:tabs>
          <w:tab w:val="left" w:pos="8789"/>
        </w:tabs>
        <w:ind w:right="-172"/>
        <w:rPr>
          <w:rFonts w:cstheme="minorHAnsi"/>
          <w:lang w:val="hr-HR"/>
        </w:rPr>
      </w:pPr>
      <w:r w:rsidRPr="00DD04A7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D994F" wp14:editId="37BF4517">
                <wp:simplePos x="0" y="0"/>
                <wp:positionH relativeFrom="column">
                  <wp:posOffset>4336415</wp:posOffset>
                </wp:positionH>
                <wp:positionV relativeFrom="paragraph">
                  <wp:posOffset>621030</wp:posOffset>
                </wp:positionV>
                <wp:extent cx="1260000" cy="1260000"/>
                <wp:effectExtent l="0" t="0" r="1651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3F1F" w14:textId="77777777" w:rsidR="00896B21" w:rsidRPr="002F5A96" w:rsidRDefault="00896B21" w:rsidP="002F5A96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</w:p>
                          <w:p w14:paraId="459B5DB8" w14:textId="68F582AA" w:rsidR="00896B21" w:rsidRPr="002F5A96" w:rsidRDefault="00896B21" w:rsidP="002F5A96">
                            <w:pPr>
                              <w:jc w:val="center"/>
                            </w:pPr>
                            <w:r w:rsidRPr="002F5A96">
                              <w:rPr>
                                <w:highlight w:val="green"/>
                              </w:rPr>
                              <w:t>[</w:t>
                            </w:r>
                            <w:proofErr w:type="spellStart"/>
                            <w:r w:rsidR="003727AF">
                              <w:rPr>
                                <w:highlight w:val="green"/>
                              </w:rPr>
                              <w:t>Umetnite</w:t>
                            </w:r>
                            <w:proofErr w:type="spellEnd"/>
                            <w:r w:rsidR="003727AF">
                              <w:rPr>
                                <w:highlight w:val="green"/>
                              </w:rPr>
                              <w:t xml:space="preserve"> logo/</w:t>
                            </w:r>
                            <w:proofErr w:type="spellStart"/>
                            <w:r w:rsidR="003727AF">
                              <w:rPr>
                                <w:highlight w:val="green"/>
                              </w:rPr>
                              <w:t>sliku</w:t>
                            </w:r>
                            <w:proofErr w:type="spellEnd"/>
                            <w:r w:rsidR="003727AF">
                              <w:rPr>
                                <w:highlight w:val="green"/>
                              </w:rPr>
                              <w:t xml:space="preserve"> </w:t>
                            </w:r>
                            <w:proofErr w:type="spellStart"/>
                            <w:r w:rsidR="003727AF">
                              <w:rPr>
                                <w:highlight w:val="green"/>
                              </w:rPr>
                              <w:t>otoka</w:t>
                            </w:r>
                            <w:proofErr w:type="spellEnd"/>
                            <w:r w:rsidRPr="002F5A96">
                              <w:rPr>
                                <w:highlight w:val="green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D99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45pt;margin-top:48.9pt;width:99.2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">
                <v:textbox>
                  <w:txbxContent>
                    <w:p w14:paraId="41ED3F1F" w14:textId="77777777" w:rsidR="00896B21" w:rsidRPr="002F5A96" w:rsidRDefault="00896B21" w:rsidP="002F5A96">
                      <w:pPr>
                        <w:jc w:val="center"/>
                        <w:rPr>
                          <w:highlight w:val="green"/>
                        </w:rPr>
                      </w:pPr>
                    </w:p>
                    <w:p w14:paraId="459B5DB8" w14:textId="68F582AA" w:rsidR="00896B21" w:rsidRPr="002F5A96" w:rsidRDefault="00896B21" w:rsidP="002F5A96">
                      <w:pPr>
                        <w:jc w:val="center"/>
                      </w:pPr>
                      <w:r w:rsidRPr="002F5A96">
                        <w:rPr>
                          <w:highlight w:val="green"/>
                        </w:rPr>
                        <w:t>[</w:t>
                      </w:r>
                      <w:proofErr w:type="spellStart"/>
                      <w:r w:rsidR="003727AF">
                        <w:rPr>
                          <w:highlight w:val="green"/>
                        </w:rPr>
                        <w:t>Umetnite</w:t>
                      </w:r>
                      <w:proofErr w:type="spellEnd"/>
                      <w:r w:rsidR="003727AF">
                        <w:rPr>
                          <w:highlight w:val="green"/>
                        </w:rPr>
                        <w:t xml:space="preserve"> logo/</w:t>
                      </w:r>
                      <w:proofErr w:type="spellStart"/>
                      <w:r w:rsidR="003727AF">
                        <w:rPr>
                          <w:highlight w:val="green"/>
                        </w:rPr>
                        <w:t>sliku</w:t>
                      </w:r>
                      <w:proofErr w:type="spellEnd"/>
                      <w:r w:rsidR="003727AF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="003727AF">
                        <w:rPr>
                          <w:highlight w:val="green"/>
                        </w:rPr>
                        <w:t>otoka</w:t>
                      </w:r>
                      <w:proofErr w:type="spellEnd"/>
                      <w:r w:rsidRPr="002F5A96">
                        <w:rPr>
                          <w:highlight w:val="gree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01D54" w:rsidRPr="00DD04A7">
        <w:rPr>
          <w:noProof/>
          <w:lang w:val="hr-HR"/>
        </w:rPr>
        <w:drawing>
          <wp:anchor distT="0" distB="0" distL="114300" distR="114300" simplePos="0" relativeHeight="251660288" behindDoc="0" locked="0" layoutInCell="1" allowOverlap="1" wp14:anchorId="3FCA5195" wp14:editId="4FA88CE1">
            <wp:simplePos x="0" y="0"/>
            <wp:positionH relativeFrom="column">
              <wp:posOffset>3901440</wp:posOffset>
            </wp:positionH>
            <wp:positionV relativeFrom="paragraph">
              <wp:posOffset>-202565</wp:posOffset>
            </wp:positionV>
            <wp:extent cx="2041200" cy="540000"/>
            <wp:effectExtent l="0" t="0" r="0" b="0"/>
            <wp:wrapNone/>
            <wp:docPr id="15" name="Grafik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 Island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A5315" w14:textId="77777777" w:rsidR="00001D54" w:rsidRPr="00DD04A7" w:rsidRDefault="00001D54" w:rsidP="00001D54">
      <w:pPr>
        <w:rPr>
          <w:rFonts w:cs="Calibri"/>
          <w:b/>
          <w:sz w:val="24"/>
          <w:szCs w:val="24"/>
          <w:lang w:val="hr-HR"/>
        </w:rPr>
      </w:pPr>
    </w:p>
    <w:p w14:paraId="46122A10" w14:textId="77777777" w:rsidR="00001D54" w:rsidRPr="00DD04A7" w:rsidRDefault="00001D54" w:rsidP="00001D54">
      <w:pPr>
        <w:rPr>
          <w:rFonts w:cs="Calibri"/>
          <w:b/>
          <w:sz w:val="24"/>
          <w:szCs w:val="24"/>
          <w:lang w:val="hr-HR"/>
        </w:rPr>
      </w:pPr>
    </w:p>
    <w:p w14:paraId="41E4950F" w14:textId="77777777" w:rsidR="00001D54" w:rsidRPr="00DD04A7" w:rsidRDefault="00001D54" w:rsidP="00001D54">
      <w:pPr>
        <w:rPr>
          <w:rFonts w:cs="Calibri"/>
          <w:b/>
          <w:sz w:val="24"/>
          <w:szCs w:val="24"/>
          <w:lang w:val="hr-HR"/>
        </w:rPr>
      </w:pPr>
    </w:p>
    <w:p w14:paraId="793733D7" w14:textId="77777777" w:rsidR="00001D54" w:rsidRPr="00DD04A7" w:rsidRDefault="00001D54" w:rsidP="00001D54">
      <w:pPr>
        <w:rPr>
          <w:rFonts w:cs="Calibri"/>
          <w:b/>
          <w:sz w:val="24"/>
          <w:szCs w:val="24"/>
          <w:lang w:val="hr-HR"/>
        </w:rPr>
      </w:pPr>
    </w:p>
    <w:p w14:paraId="73165160" w14:textId="1B451DA1" w:rsidR="00001D54" w:rsidRPr="00DD04A7" w:rsidRDefault="00001D54" w:rsidP="00001D54">
      <w:pPr>
        <w:pStyle w:val="TOCHeading"/>
        <w:rPr>
          <w:lang w:val="hr-HR"/>
        </w:rPr>
      </w:pPr>
      <w:r w:rsidRPr="00DD04A7">
        <w:rPr>
          <w:i/>
          <w:noProof/>
          <w:lang w:val="hr-HR"/>
        </w:rPr>
        <w:drawing>
          <wp:anchor distT="0" distB="0" distL="114300" distR="114300" simplePos="0" relativeHeight="251659264" behindDoc="1" locked="0" layoutInCell="1" allowOverlap="1" wp14:anchorId="10318615" wp14:editId="56F18E26">
            <wp:simplePos x="0" y="0"/>
            <wp:positionH relativeFrom="column">
              <wp:posOffset>-4688840</wp:posOffset>
            </wp:positionH>
            <wp:positionV relativeFrom="page">
              <wp:posOffset>1173480</wp:posOffset>
            </wp:positionV>
            <wp:extent cx="8337600" cy="8305200"/>
            <wp:effectExtent l="0" t="0" r="635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600" cy="83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A7" w:rsidRPr="00DD04A7">
        <w:rPr>
          <w:lang w:val="hr-HR"/>
        </w:rPr>
        <w:t>TRANZICIJSKI PLAN PREMA ČISTOJ ENERGIJI</w:t>
      </w:r>
    </w:p>
    <w:p w14:paraId="3A3CC98F" w14:textId="11C4432F" w:rsidR="00001D54" w:rsidRPr="00DD04A7" w:rsidRDefault="006A73AE" w:rsidP="00A624D9">
      <w:pPr>
        <w:pStyle w:val="TitlePageSubheader"/>
        <w:framePr w:wrap="around"/>
        <w:rPr>
          <w:lang w:val="hr-HR"/>
        </w:rPr>
      </w:pPr>
      <w:r w:rsidRPr="00DD04A7">
        <w:rPr>
          <w:lang w:val="hr-HR"/>
        </w:rPr>
        <w:t>[</w:t>
      </w:r>
      <w:r w:rsidR="00DD04A7" w:rsidRPr="00DD04A7">
        <w:rPr>
          <w:lang w:val="hr-HR"/>
        </w:rPr>
        <w:t>NAZIV OTOKA</w:t>
      </w:r>
      <w:r w:rsidRPr="00DD04A7">
        <w:rPr>
          <w:lang w:val="hr-HR"/>
        </w:rPr>
        <w:t>]</w:t>
      </w:r>
    </w:p>
    <w:p w14:paraId="490D4C30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1E30B417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4973262D" w14:textId="56733606" w:rsidR="00A624D9" w:rsidRPr="00DD04A7" w:rsidRDefault="00A624D9" w:rsidP="00A624D9">
      <w:pPr>
        <w:pStyle w:val="TitlePageSubheader"/>
        <w:framePr w:wrap="auto" w:vAnchor="margin" w:yAlign="inline"/>
        <w:rPr>
          <w:sz w:val="40"/>
          <w:lang w:val="hr-HR"/>
        </w:rPr>
      </w:pPr>
      <w:r w:rsidRPr="00DD04A7">
        <w:rPr>
          <w:sz w:val="40"/>
          <w:lang w:val="hr-HR"/>
        </w:rPr>
        <w:t>Ver</w:t>
      </w:r>
      <w:r w:rsidR="00DD04A7" w:rsidRPr="00DD04A7">
        <w:rPr>
          <w:sz w:val="40"/>
          <w:lang w:val="hr-HR"/>
        </w:rPr>
        <w:t>zija</w:t>
      </w:r>
      <w:r w:rsidRPr="00DD04A7">
        <w:rPr>
          <w:sz w:val="40"/>
          <w:lang w:val="hr-HR"/>
        </w:rPr>
        <w:t xml:space="preserve"> M</w:t>
      </w:r>
      <w:r w:rsidR="00DD04A7" w:rsidRPr="00DD04A7">
        <w:rPr>
          <w:sz w:val="40"/>
          <w:lang w:val="hr-HR"/>
        </w:rPr>
        <w:t>jesec</w:t>
      </w:r>
      <w:r w:rsidRPr="00DD04A7">
        <w:rPr>
          <w:sz w:val="40"/>
          <w:lang w:val="hr-HR"/>
        </w:rPr>
        <w:t xml:space="preserve"> </w:t>
      </w:r>
      <w:r w:rsidR="00DD04A7" w:rsidRPr="00DD04A7">
        <w:rPr>
          <w:sz w:val="40"/>
          <w:lang w:val="hr-HR"/>
        </w:rPr>
        <w:t>Godina</w:t>
      </w:r>
    </w:p>
    <w:p w14:paraId="4D79AA59" w14:textId="6684B98E" w:rsidR="00001D54" w:rsidRPr="00DD04A7" w:rsidRDefault="00001D54" w:rsidP="00001D54">
      <w:pPr>
        <w:rPr>
          <w:rFonts w:cstheme="minorHAnsi"/>
          <w:lang w:val="hr-HR"/>
        </w:rPr>
      </w:pPr>
    </w:p>
    <w:p w14:paraId="4F8909EC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574E8AA9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7B2A4CC2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20CFA6BD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593C68AA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7D8830F3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6CCAC965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3A9D0FEB" w14:textId="19D7C2FB" w:rsidR="00001D54" w:rsidRPr="00DD04A7" w:rsidRDefault="002F03B7" w:rsidP="00001D54">
      <w:pPr>
        <w:rPr>
          <w:rFonts w:cstheme="minorHAnsi"/>
          <w:lang w:val="hr-HR"/>
        </w:rPr>
      </w:pPr>
      <w:r w:rsidRPr="00DD04A7">
        <w:rPr>
          <w:rFonts w:cstheme="minorHAnsi"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86A31" wp14:editId="31A58BC6">
                <wp:simplePos x="0" y="0"/>
                <wp:positionH relativeFrom="column">
                  <wp:posOffset>-45085</wp:posOffset>
                </wp:positionH>
                <wp:positionV relativeFrom="page">
                  <wp:posOffset>9616440</wp:posOffset>
                </wp:positionV>
                <wp:extent cx="5104765" cy="8318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9CF4" w14:textId="77777777" w:rsidR="00896B21" w:rsidRPr="003E3BF2" w:rsidRDefault="00896B21" w:rsidP="00001D54">
                            <w:pPr>
                              <w:ind w:right="153"/>
                              <w:rPr>
                                <w:rFonts w:cstheme="minorHAnsi"/>
                                <w:lang w:val="en-US"/>
                              </w:rPr>
                            </w:pPr>
                            <w:bookmarkStart w:id="0" w:name="_Hlk534638097"/>
                            <w:bookmarkStart w:id="1" w:name="_Hlk534638098"/>
                            <w:bookmarkStart w:id="2" w:name="_Hlk534638128"/>
                            <w:bookmarkStart w:id="3" w:name="_Hlk534638129"/>
                            <w:r w:rsidRPr="003E3BF2">
                              <w:rPr>
                                <w:rFonts w:eastAsia="Informative" w:cstheme="minorHAnsi"/>
                                <w:b/>
                                <w:lang w:val="en-US"/>
                              </w:rPr>
                              <w:t xml:space="preserve">CLEAN ENERGY FOR EU ISLANDS </w:t>
                            </w:r>
                          </w:p>
                          <w:p w14:paraId="757E0FA9" w14:textId="77777777" w:rsidR="00896B21" w:rsidRPr="003E3BF2" w:rsidRDefault="00896B21" w:rsidP="00001D54">
                            <w:pPr>
                              <w:spacing w:after="3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3E3BF2">
                              <w:rPr>
                                <w:rFonts w:cstheme="minorHAnsi"/>
                                <w:lang w:val="en-US"/>
                              </w:rPr>
                              <w:t xml:space="preserve">Secretariat • Rue d‘Arlon 63, BE-1000 Brussels </w:t>
                            </w:r>
                          </w:p>
                          <w:p w14:paraId="002BAA21" w14:textId="30883F0A" w:rsidR="00896B21" w:rsidRPr="003E3BF2" w:rsidRDefault="00896B21" w:rsidP="00001D54">
                            <w:pPr>
                              <w:pStyle w:val="FooterSecretariat"/>
                              <w:rPr>
                                <w:rFonts w:cstheme="minorHAnsi"/>
                                <w:color w:val="auto"/>
                                <w:lang w:val="fr-FR"/>
                              </w:rPr>
                            </w:pPr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Phone</w:t>
                            </w:r>
                            <w:r w:rsidRPr="0009375D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+32 2 400 10 67 • E-mail</w:t>
                            </w:r>
                            <w:r w:rsidRPr="0009375D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info@euislands.eu • </w:t>
                            </w:r>
                            <w:proofErr w:type="spellStart"/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09375D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BE"/>
                              </w:rPr>
                              <w:t>:</w:t>
                            </w:r>
                            <w:r w:rsidRPr="003E3BF2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10" w:history="1">
                              <w:r w:rsidRPr="00BD3FFA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lang w:val="fr-FR"/>
                                </w:rPr>
                                <w:t>euislands.eu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hyperlink>
                          </w:p>
                          <w:p w14:paraId="262A5E79" w14:textId="77777777" w:rsidR="00896B21" w:rsidRPr="00E7010D" w:rsidRDefault="00896B21" w:rsidP="00001D5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86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.55pt;margin-top:757.2pt;width:401.95pt;height:6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" filled="f" stroked="f">
                <v:textbox>
                  <w:txbxContent>
                    <w:p w14:paraId="47DC9CF4" w14:textId="77777777" w:rsidR="00896B21" w:rsidRPr="003E3BF2" w:rsidRDefault="00896B21" w:rsidP="00001D54">
                      <w:pPr>
                        <w:ind w:right="153"/>
                        <w:rPr>
                          <w:rFonts w:cstheme="minorHAnsi"/>
                          <w:lang w:val="en-US"/>
                        </w:rPr>
                      </w:pPr>
                      <w:bookmarkStart w:id="4" w:name="_Hlk534638097"/>
                      <w:bookmarkStart w:id="5" w:name="_Hlk534638098"/>
                      <w:bookmarkStart w:id="6" w:name="_Hlk534638128"/>
                      <w:bookmarkStart w:id="7" w:name="_Hlk534638129"/>
                      <w:r w:rsidRPr="003E3BF2">
                        <w:rPr>
                          <w:rFonts w:eastAsia="Informative" w:cstheme="minorHAnsi"/>
                          <w:b/>
                          <w:lang w:val="en-US"/>
                        </w:rPr>
                        <w:t xml:space="preserve">CLEAN ENERGY FOR EU ISLANDS </w:t>
                      </w:r>
                    </w:p>
                    <w:p w14:paraId="757E0FA9" w14:textId="77777777" w:rsidR="00896B21" w:rsidRPr="003E3BF2" w:rsidRDefault="00896B21" w:rsidP="00001D54">
                      <w:pPr>
                        <w:spacing w:after="3"/>
                        <w:rPr>
                          <w:rFonts w:cstheme="minorHAnsi"/>
                          <w:lang w:val="en-US"/>
                        </w:rPr>
                      </w:pPr>
                      <w:r w:rsidRPr="003E3BF2">
                        <w:rPr>
                          <w:rFonts w:cstheme="minorHAnsi"/>
                          <w:lang w:val="en-US"/>
                        </w:rPr>
                        <w:t xml:space="preserve">Secretariat • Rue d‘Arlon 63, BE-1000 Brussels </w:t>
                      </w:r>
                    </w:p>
                    <w:p w14:paraId="002BAA21" w14:textId="30883F0A" w:rsidR="00896B21" w:rsidRPr="003E3BF2" w:rsidRDefault="00896B21" w:rsidP="00001D54">
                      <w:pPr>
                        <w:pStyle w:val="FooterSecretariat"/>
                        <w:rPr>
                          <w:rFonts w:cstheme="minorHAnsi"/>
                          <w:color w:val="auto"/>
                          <w:lang w:val="fr-FR"/>
                        </w:rPr>
                      </w:pPr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>Phone</w:t>
                      </w:r>
                      <w:r w:rsidRPr="0009375D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+32 2 400 10 67 • E-mail</w:t>
                      </w:r>
                      <w:r w:rsidRPr="0009375D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info@euislands.eu • </w:t>
                      </w:r>
                      <w:proofErr w:type="spellStart"/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>Website</w:t>
                      </w:r>
                      <w:proofErr w:type="spellEnd"/>
                      <w:r w:rsidRPr="0009375D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BE"/>
                        </w:rPr>
                        <w:t>:</w:t>
                      </w:r>
                      <w:r w:rsidRPr="003E3BF2">
                        <w:rPr>
                          <w:rFonts w:cstheme="minorHAnsi"/>
                          <w:color w:val="auto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hyperlink r:id="rId11" w:history="1">
                        <w:r w:rsidRPr="00BD3FFA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lang w:val="fr-FR"/>
                          </w:rPr>
                          <w:t>euislands.eu</w:t>
                        </w:r>
                        <w:bookmarkEnd w:id="4"/>
                        <w:bookmarkEnd w:id="5"/>
                        <w:bookmarkEnd w:id="6"/>
                        <w:bookmarkEnd w:id="7"/>
                      </w:hyperlink>
                    </w:p>
                    <w:p w14:paraId="262A5E79" w14:textId="77777777" w:rsidR="00896B21" w:rsidRPr="00E7010D" w:rsidRDefault="00896B21" w:rsidP="00001D5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787753" w14:textId="77777777" w:rsidR="00001D54" w:rsidRPr="00DD04A7" w:rsidRDefault="00001D54" w:rsidP="00001D54">
      <w:pPr>
        <w:rPr>
          <w:rFonts w:cstheme="minorHAnsi"/>
          <w:lang w:val="hr-HR"/>
        </w:rPr>
      </w:pPr>
    </w:p>
    <w:p w14:paraId="46867388" w14:textId="7F0FBD22" w:rsidR="00001D54" w:rsidRPr="00DD04A7" w:rsidRDefault="00001D54" w:rsidP="00001D54">
      <w:pPr>
        <w:rPr>
          <w:rFonts w:cstheme="minorHAnsi"/>
          <w:lang w:val="hr-HR"/>
        </w:rPr>
        <w:sectPr w:rsidR="00001D54" w:rsidRPr="00DD04A7" w:rsidSect="00001D54">
          <w:headerReference w:type="default" r:id="rId12"/>
          <w:footerReference w:type="default" r:id="rId13"/>
          <w:headerReference w:type="first" r:id="rId14"/>
          <w:pgSz w:w="11906" w:h="16838" w:code="9"/>
          <w:pgMar w:top="567" w:right="1871" w:bottom="567" w:left="1871" w:header="425" w:footer="510" w:gutter="0"/>
          <w:cols w:space="708"/>
          <w:titlePg/>
          <w:docGrid w:linePitch="245"/>
        </w:sectPr>
      </w:pPr>
    </w:p>
    <w:p w14:paraId="3D8A4B32" w14:textId="076E2473" w:rsidR="006E051F" w:rsidRPr="00DD04A7" w:rsidRDefault="001F68E4" w:rsidP="00DA2376">
      <w:pPr>
        <w:pStyle w:val="Heading2"/>
        <w:numPr>
          <w:ilvl w:val="0"/>
          <w:numId w:val="0"/>
        </w:numPr>
        <w:jc w:val="left"/>
        <w:rPr>
          <w:lang w:val="hr-HR"/>
        </w:rPr>
      </w:pPr>
      <w:bookmarkStart w:id="8" w:name="_Toc24015554"/>
      <w:bookmarkStart w:id="9" w:name="_Toc2694287"/>
      <w:bookmarkStart w:id="10" w:name="_Toc2694393"/>
      <w:r>
        <w:rPr>
          <w:lang w:val="hr-HR"/>
        </w:rPr>
        <w:lastRenderedPageBreak/>
        <w:t>Upute autorima Tranzicijskog plana ka čistoj energiji</w:t>
      </w:r>
      <w:bookmarkEnd w:id="8"/>
    </w:p>
    <w:p w14:paraId="23B5E4E8" w14:textId="39416ACD" w:rsidR="008704A1" w:rsidRPr="00DD04A7" w:rsidRDefault="00DD04A7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>Tranzicijski plan prema čistoj energiji</w:t>
      </w:r>
      <w:r w:rsidR="008704A1" w:rsidRPr="00DD04A7"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> </w:t>
      </w:r>
      <w:r w:rsidR="008704A1"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je strateški plan za prijelaz 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otoka</w:t>
      </w:r>
      <w:r w:rsidR="008704A1"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ka čistoj energiji prema želj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ama i vizijama otočne</w:t>
      </w:r>
      <w:r w:rsidR="008704A1"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zajednice. 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Ono je r</w:t>
      </w:r>
      <w:r w:rsidR="008704A1" w:rsidRPr="00DD04A7">
        <w:rPr>
          <w:rFonts w:ascii="Century Gothic" w:hAnsi="Century Gothic"/>
          <w:color w:val="2F5496"/>
          <w:sz w:val="20"/>
          <w:szCs w:val="20"/>
          <w:lang w:val="hr-HR"/>
        </w:rPr>
        <w:t>ezultat je procesa sudjelovanja na cijelom otoku koji okuplja sve relevantne dionike kako bi analizirao o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točnu</w:t>
      </w:r>
      <w:r w:rsidR="008704A1"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dinamiku, zajedničku viziju i  prijelazne putove prema toj viziji. Tranzicijska 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 xml:space="preserve">pla </w:t>
      </w:r>
      <w:r w:rsidR="008704A1"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postavlja strateški temelj za izradu planova dekarbonizacije koji pokrivaju tehnički, financijski i organizacijski aspekt tranzicije čiste energije vašeg otoka.</w:t>
      </w:r>
    </w:p>
    <w:p w14:paraId="141B5E0B" w14:textId="5427DC87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Kao dopuna ovom predlošku, </w:t>
      </w:r>
      <w:r w:rsidRPr="00DD04A7"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>Oto</w:t>
      </w:r>
      <w:r w:rsidR="00896B21"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>čni</w:t>
      </w:r>
      <w:r w:rsidRPr="00DD04A7"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 xml:space="preserve"> Tranzicij</w:t>
      </w:r>
      <w:r w:rsidR="00896B21"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>ski</w:t>
      </w:r>
      <w:r w:rsidRPr="00DD04A7"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 xml:space="preserve"> Priručnik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vodi zajednice kroz proces pisanja u tranziciji plana. 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 xml:space="preserve"> Otočni 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T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ranzicijski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 Priručnik je dostupan </w:t>
      </w:r>
      <w:hyperlink r:id="rId15" w:history="1">
        <w:r w:rsidRPr="00DD04A7">
          <w:rPr>
            <w:rStyle w:val="Hyperlink"/>
            <w:rFonts w:ascii="Century Gothic" w:hAnsi="Century Gothic"/>
            <w:color w:val="0563C1"/>
            <w:sz w:val="20"/>
            <w:szCs w:val="20"/>
            <w:lang w:val="hr-HR"/>
          </w:rPr>
          <w:t>na internetu</w:t>
        </w:r>
      </w:hyperlink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 .  Odjeljci i pododjeljci ovog Predloga odnose se na posebna poglavlja Priručnika o tranziciji na otoku .</w:t>
      </w:r>
    </w:p>
    <w:p w14:paraId="78F38397" w14:textId="34CB0F70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Ovaj je predložak dostupan na engleskom jeziku , ali se potiče autore da ga prevedu na lokalni jezik. Sadržaj koji Autori trebaju izmijeniti označen je u </w:t>
      </w:r>
      <w:r w:rsidRPr="00DD04A7">
        <w:rPr>
          <w:rFonts w:ascii="Century Gothic" w:hAnsi="Century Gothic"/>
          <w:color w:val="2F5496"/>
          <w:sz w:val="20"/>
          <w:szCs w:val="20"/>
          <w:shd w:val="clear" w:color="auto" w:fill="00FF00"/>
          <w:lang w:val="hr-HR"/>
        </w:rPr>
        <w:t>[zelenim zagradama]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. Opisi kako popuniti dnevni red napisani su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plavim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slovima . Po završetku uklonite </w:t>
      </w:r>
      <w:r w:rsidRPr="00DD04A7">
        <w:rPr>
          <w:rFonts w:ascii="Century Gothic" w:hAnsi="Century Gothic"/>
          <w:color w:val="2F5496"/>
          <w:sz w:val="20"/>
          <w:szCs w:val="20"/>
          <w:shd w:val="clear" w:color="auto" w:fill="00FF00"/>
          <w:lang w:val="hr-HR"/>
        </w:rPr>
        <w:t>nagl</w:t>
      </w:r>
      <w:r w:rsidR="00896B21">
        <w:rPr>
          <w:rFonts w:ascii="Century Gothic" w:hAnsi="Century Gothic"/>
          <w:color w:val="2F5496"/>
          <w:sz w:val="20"/>
          <w:szCs w:val="20"/>
          <w:shd w:val="clear" w:color="auto" w:fill="00FF00"/>
          <w:lang w:val="hr-HR"/>
        </w:rPr>
        <w:t>aske</w:t>
      </w:r>
      <w:r w:rsidRPr="00DD04A7">
        <w:rPr>
          <w:rFonts w:ascii="Century Gothic" w:hAnsi="Century Gothic"/>
          <w:color w:val="2F5496"/>
          <w:sz w:val="20"/>
          <w:szCs w:val="20"/>
          <w:shd w:val="clear" w:color="auto" w:fill="00FF00"/>
          <w:lang w:val="hr-HR"/>
        </w:rPr>
        <w:t>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i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plavi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tekst u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kurzivu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.</w:t>
      </w:r>
    </w:p>
    <w:p w14:paraId="310C2F84" w14:textId="6BFE16D8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Cilj ovog predloška je oblikovati vaš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 xml:space="preserve"> Tranzicijski plan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o prijelazu 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 xml:space="preserve">ka 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čisto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j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energijom i treba je prilagoditi specifičnim potrebama vašeg otoka. Otoke se potiče da razvijaju vlastiti vizualni identitet i mogu birati alternativne načine dostavljanja svoje tranzicijsk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og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plana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- poput interaktivne web stranice, postera itd. - sve dok su ispunjeni minimalni zahtjevi navedeni u nastavku. </w:t>
      </w:r>
    </w:p>
    <w:p w14:paraId="3B87B7F1" w14:textId="77777777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Program tranzicije čiste energije mora ispunjavati sljedeće </w:t>
      </w:r>
      <w:r w:rsidRPr="00DD04A7"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>sadržajne zahtjeve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:</w:t>
      </w:r>
    </w:p>
    <w:p w14:paraId="60A85BFC" w14:textId="77777777" w:rsidR="008704A1" w:rsidRPr="00DD04A7" w:rsidRDefault="008704A1" w:rsidP="008704A1">
      <w:pPr>
        <w:pStyle w:val="NormalWeb"/>
        <w:spacing w:before="0" w:beforeAutospacing="0" w:after="0"/>
        <w:ind w:left="720" w:hanging="360"/>
        <w:rPr>
          <w:color w:val="000000"/>
          <w:sz w:val="27"/>
          <w:szCs w:val="27"/>
          <w:lang w:val="hr-HR"/>
        </w:rPr>
      </w:pPr>
      <w:r w:rsidRPr="00DD04A7">
        <w:rPr>
          <w:rFonts w:ascii="Calibri" w:hAnsi="Calibri" w:cs="Calibri"/>
          <w:color w:val="2F5496"/>
          <w:sz w:val="20"/>
          <w:szCs w:val="20"/>
          <w:lang w:val="hr-HR"/>
        </w:rPr>
        <w:t>-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Sastoji se od najmanje dva dijela: jedan dio koji opisuje trenutnu situaciju na otoku i drugi dio koji potiče iz predviđene dekarbonizirane budućnosti otoka.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35DDBEAB" w14:textId="77777777" w:rsidR="008704A1" w:rsidRPr="00DD04A7" w:rsidRDefault="008704A1" w:rsidP="008704A1">
      <w:pPr>
        <w:pStyle w:val="NormalWeb"/>
        <w:spacing w:before="0" w:beforeAutospacing="0" w:after="0"/>
        <w:ind w:left="720" w:hanging="360"/>
        <w:rPr>
          <w:color w:val="000000"/>
          <w:sz w:val="27"/>
          <w:szCs w:val="27"/>
          <w:lang w:val="hr-HR"/>
        </w:rPr>
      </w:pPr>
      <w:r w:rsidRPr="00DD04A7">
        <w:rPr>
          <w:rFonts w:ascii="Calibri" w:hAnsi="Calibri" w:cs="Calibri"/>
          <w:color w:val="2F5496"/>
          <w:sz w:val="20"/>
          <w:szCs w:val="20"/>
          <w:lang w:val="hr-HR"/>
        </w:rPr>
        <w:t>-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I dio uključuje najmanje: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16E88416" w14:textId="77777777" w:rsidR="008704A1" w:rsidRPr="00DD04A7" w:rsidRDefault="008704A1" w:rsidP="008704A1">
      <w:pPr>
        <w:numPr>
          <w:ilvl w:val="1"/>
          <w:numId w:val="38"/>
        </w:numPr>
        <w:spacing w:after="0" w:line="240" w:lineRule="auto"/>
        <w:ind w:left="1320" w:firstLine="0"/>
        <w:jc w:val="left"/>
        <w:rPr>
          <w:color w:val="2F5496"/>
          <w:szCs w:val="20"/>
          <w:lang w:val="hr-HR"/>
        </w:rPr>
      </w:pPr>
      <w:r w:rsidRPr="00DD04A7">
        <w:rPr>
          <w:color w:val="2F5496"/>
          <w:szCs w:val="20"/>
          <w:lang w:val="hr-HR"/>
        </w:rPr>
        <w:t>Opći opis geografije, gospodarstva i stanovništva otoka,</w:t>
      </w:r>
    </w:p>
    <w:p w14:paraId="711FEAEC" w14:textId="77777777" w:rsidR="008704A1" w:rsidRPr="00DD04A7" w:rsidRDefault="008704A1" w:rsidP="008704A1">
      <w:pPr>
        <w:numPr>
          <w:ilvl w:val="1"/>
          <w:numId w:val="38"/>
        </w:numPr>
        <w:spacing w:after="0" w:line="240" w:lineRule="auto"/>
        <w:ind w:left="1320" w:firstLine="0"/>
        <w:jc w:val="left"/>
        <w:rPr>
          <w:color w:val="2F5496"/>
          <w:szCs w:val="20"/>
          <w:lang w:val="hr-HR"/>
        </w:rPr>
      </w:pPr>
      <w:r w:rsidRPr="00DD04A7">
        <w:rPr>
          <w:color w:val="2F5496"/>
          <w:szCs w:val="20"/>
          <w:lang w:val="hr-HR"/>
        </w:rPr>
        <w:t>Opis trenutnog energetskog sustava.</w:t>
      </w:r>
    </w:p>
    <w:p w14:paraId="70846302" w14:textId="77777777" w:rsidR="008704A1" w:rsidRPr="00DD04A7" w:rsidRDefault="008704A1" w:rsidP="008704A1">
      <w:pPr>
        <w:numPr>
          <w:ilvl w:val="1"/>
          <w:numId w:val="38"/>
        </w:numPr>
        <w:spacing w:after="0" w:line="240" w:lineRule="auto"/>
        <w:ind w:left="1320" w:firstLine="0"/>
        <w:jc w:val="left"/>
        <w:rPr>
          <w:color w:val="2F5496"/>
          <w:szCs w:val="20"/>
          <w:lang w:val="hr-HR"/>
        </w:rPr>
      </w:pPr>
      <w:r w:rsidRPr="00DD04A7">
        <w:rPr>
          <w:color w:val="2F5496"/>
          <w:szCs w:val="20"/>
          <w:lang w:val="hr-HR"/>
        </w:rPr>
        <w:t>Kartiranje dionika koje pokriva relevantne dionike otoka.</w:t>
      </w:r>
    </w:p>
    <w:p w14:paraId="21D7268F" w14:textId="77777777" w:rsidR="008704A1" w:rsidRPr="00DD04A7" w:rsidRDefault="008704A1" w:rsidP="008704A1">
      <w:pPr>
        <w:numPr>
          <w:ilvl w:val="1"/>
          <w:numId w:val="38"/>
        </w:numPr>
        <w:spacing w:after="0" w:line="240" w:lineRule="auto"/>
        <w:ind w:left="1320" w:firstLine="0"/>
        <w:jc w:val="left"/>
        <w:rPr>
          <w:color w:val="2F5496"/>
          <w:szCs w:val="20"/>
          <w:lang w:val="hr-HR"/>
        </w:rPr>
      </w:pPr>
      <w:r w:rsidRPr="00DD04A7">
        <w:rPr>
          <w:color w:val="2F5496"/>
          <w:szCs w:val="20"/>
          <w:lang w:val="hr-HR"/>
        </w:rPr>
        <w:t>Analiza politike i propisa koji nadilaze plan.</w:t>
      </w:r>
    </w:p>
    <w:p w14:paraId="55EF05E7" w14:textId="77777777" w:rsidR="008704A1" w:rsidRPr="00DD04A7" w:rsidRDefault="008704A1" w:rsidP="008704A1">
      <w:pPr>
        <w:pStyle w:val="NormalWeb"/>
        <w:spacing w:before="0" w:beforeAutospacing="0" w:after="0"/>
        <w:ind w:left="720" w:hanging="360"/>
        <w:rPr>
          <w:color w:val="000000"/>
          <w:sz w:val="27"/>
          <w:szCs w:val="27"/>
          <w:lang w:val="hr-HR"/>
        </w:rPr>
      </w:pPr>
      <w:r w:rsidRPr="00DD04A7">
        <w:rPr>
          <w:rFonts w:ascii="Calibri" w:hAnsi="Calibri" w:cs="Calibri"/>
          <w:color w:val="2F5496"/>
          <w:sz w:val="20"/>
          <w:szCs w:val="20"/>
          <w:lang w:val="hr-HR"/>
        </w:rPr>
        <w:t>-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dio II barem uključuje: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4DC25379" w14:textId="77777777" w:rsidR="008704A1" w:rsidRPr="00DD04A7" w:rsidRDefault="008704A1" w:rsidP="008704A1">
      <w:pPr>
        <w:numPr>
          <w:ilvl w:val="1"/>
          <w:numId w:val="39"/>
        </w:numPr>
        <w:spacing w:after="0" w:line="240" w:lineRule="auto"/>
        <w:ind w:left="1320" w:firstLine="0"/>
        <w:jc w:val="left"/>
        <w:rPr>
          <w:color w:val="2F5496"/>
          <w:szCs w:val="20"/>
          <w:lang w:val="hr-HR"/>
        </w:rPr>
      </w:pPr>
      <w:r w:rsidRPr="00DD04A7">
        <w:rPr>
          <w:color w:val="2F5496"/>
          <w:szCs w:val="20"/>
          <w:lang w:val="hr-HR"/>
        </w:rPr>
        <w:t>Izjava o viziji koja pokriva cijeli otok,</w:t>
      </w:r>
    </w:p>
    <w:p w14:paraId="330919A8" w14:textId="77777777" w:rsidR="008704A1" w:rsidRPr="00DD04A7" w:rsidRDefault="008704A1" w:rsidP="008704A1">
      <w:pPr>
        <w:numPr>
          <w:ilvl w:val="1"/>
          <w:numId w:val="39"/>
        </w:numPr>
        <w:spacing w:after="0" w:line="240" w:lineRule="auto"/>
        <w:ind w:left="1320" w:firstLine="0"/>
        <w:jc w:val="left"/>
        <w:rPr>
          <w:color w:val="2F5496"/>
          <w:szCs w:val="20"/>
          <w:lang w:val="hr-HR"/>
        </w:rPr>
      </w:pPr>
      <w:r w:rsidRPr="00DD04A7">
        <w:rPr>
          <w:color w:val="2F5496"/>
          <w:szCs w:val="20"/>
          <w:lang w:val="hr-HR"/>
        </w:rPr>
        <w:t>Opis upravljanja tranzicijskim procesom,</w:t>
      </w:r>
    </w:p>
    <w:p w14:paraId="7F2A0D8E" w14:textId="77777777" w:rsidR="008704A1" w:rsidRPr="00DD04A7" w:rsidRDefault="008704A1" w:rsidP="008704A1">
      <w:pPr>
        <w:numPr>
          <w:ilvl w:val="1"/>
          <w:numId w:val="39"/>
        </w:numPr>
        <w:spacing w:after="0" w:line="240" w:lineRule="auto"/>
        <w:ind w:left="1320" w:firstLine="0"/>
        <w:jc w:val="left"/>
        <w:rPr>
          <w:color w:val="2F5496"/>
          <w:szCs w:val="20"/>
          <w:lang w:val="hr-HR"/>
        </w:rPr>
      </w:pPr>
      <w:r w:rsidRPr="00DD04A7">
        <w:rPr>
          <w:color w:val="2F5496"/>
          <w:szCs w:val="20"/>
          <w:lang w:val="hr-HR"/>
        </w:rPr>
        <w:t>Identifikacija i opis glavnih putova tranzicijskog procesa.</w:t>
      </w:r>
    </w:p>
    <w:p w14:paraId="0B570463" w14:textId="77777777" w:rsidR="008704A1" w:rsidRPr="00DD04A7" w:rsidRDefault="008704A1" w:rsidP="008704A1">
      <w:pPr>
        <w:numPr>
          <w:ilvl w:val="1"/>
          <w:numId w:val="39"/>
        </w:numPr>
        <w:spacing w:after="0" w:line="240" w:lineRule="auto"/>
        <w:ind w:left="1320" w:firstLine="0"/>
        <w:jc w:val="left"/>
        <w:rPr>
          <w:color w:val="2F5496"/>
          <w:szCs w:val="20"/>
          <w:lang w:val="hr-HR"/>
        </w:rPr>
      </w:pPr>
      <w:r w:rsidRPr="00DD04A7">
        <w:rPr>
          <w:color w:val="2F5496"/>
          <w:szCs w:val="20"/>
          <w:lang w:val="hr-HR"/>
        </w:rPr>
        <w:t>Strategija praćenja</w:t>
      </w:r>
    </w:p>
    <w:p w14:paraId="245010ED" w14:textId="77777777" w:rsidR="008704A1" w:rsidRPr="00DD04A7" w:rsidRDefault="008704A1" w:rsidP="008704A1">
      <w:pPr>
        <w:pStyle w:val="NormalWeb"/>
        <w:spacing w:before="0" w:beforeAutospacing="0" w:after="0"/>
        <w:ind w:left="720" w:hanging="360"/>
        <w:rPr>
          <w:color w:val="000000"/>
          <w:sz w:val="27"/>
          <w:szCs w:val="27"/>
          <w:lang w:val="hr-HR"/>
        </w:rPr>
      </w:pPr>
      <w:r w:rsidRPr="00DD04A7">
        <w:rPr>
          <w:rFonts w:ascii="Calibri" w:hAnsi="Calibri" w:cs="Calibri"/>
          <w:color w:val="2F5496"/>
          <w:sz w:val="20"/>
          <w:szCs w:val="20"/>
          <w:lang w:val="hr-HR"/>
        </w:rPr>
        <w:t>-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Agenda tranzicije čiste energije sadrži logo Čista energija za otoke EU i spominje Inicijativu Čista energija za otoke EU.</w:t>
      </w:r>
      <w:r w:rsidRPr="00DD04A7">
        <w:rPr>
          <w:color w:val="000000"/>
          <w:sz w:val="14"/>
          <w:szCs w:val="14"/>
          <w:lang w:val="hr-HR"/>
        </w:rPr>
        <w:t>         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 </w:t>
      </w:r>
    </w:p>
    <w:p w14:paraId="2EA60819" w14:textId="77777777" w:rsidR="008704A1" w:rsidRPr="00DD04A7" w:rsidRDefault="008704A1" w:rsidP="008704A1">
      <w:pPr>
        <w:pStyle w:val="NormalWeb"/>
        <w:spacing w:before="0" w:beforeAutospacing="0" w:after="160" w:line="253" w:lineRule="atLeast"/>
        <w:jc w:val="both"/>
        <w:rPr>
          <w:color w:val="000000"/>
          <w:sz w:val="22"/>
          <w:szCs w:val="22"/>
          <w:lang w:val="hr-HR"/>
        </w:rPr>
      </w:pPr>
      <w:r w:rsidRPr="00DD04A7">
        <w:rPr>
          <w:rFonts w:ascii="Century Gothic" w:hAnsi="Century Gothic"/>
          <w:b/>
          <w:bCs/>
          <w:color w:val="000000"/>
          <w:sz w:val="22"/>
          <w:szCs w:val="22"/>
          <w:lang w:val="hr-HR"/>
        </w:rPr>
        <w:t> </w:t>
      </w:r>
    </w:p>
    <w:p w14:paraId="3291832C" w14:textId="253024BD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Napominjemo da je program tranzicije "živi dokument"; stoga se njegov sadržaj s vremenom može razvijati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 xml:space="preserve"> i prilagođavati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. Kroz proces tranzicije, otoci mogu imati različite verzije tranzicijsk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og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 xml:space="preserve"> 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plana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 (jedna na početku, a nekoliko u tijeku tranzicije). Da bi se izbjegli nesporazumi, molim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 xml:space="preserve">o Vas da naznačite 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verzij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>u, mjesec i godinu</w:t>
      </w:r>
      <w:r w:rsidRPr="00DD04A7">
        <w:rPr>
          <w:rFonts w:ascii="Century Gothic" w:hAnsi="Century Gothic"/>
          <w:b/>
          <w:bCs/>
          <w:color w:val="2F5496"/>
          <w:sz w:val="20"/>
          <w:szCs w:val="20"/>
          <w:lang w:val="hr-HR"/>
        </w:rPr>
        <w:t> 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na stranici naslova </w:t>
      </w:r>
      <w:r w:rsidR="00896B21">
        <w:rPr>
          <w:rFonts w:ascii="Century Gothic" w:hAnsi="Century Gothic"/>
          <w:color w:val="2F5496"/>
          <w:sz w:val="20"/>
          <w:szCs w:val="20"/>
          <w:lang w:val="hr-HR"/>
        </w:rPr>
        <w:t xml:space="preserve"> o </w:t>
      </w: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tranziciji dnevnog reda.</w:t>
      </w:r>
    </w:p>
    <w:p w14:paraId="1361EB88" w14:textId="77777777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Za bilo kakva pitanja ne oklijevajte kontaktirati Tajništvo za čistu energiju za otoke EU putem </w:t>
      </w:r>
      <w:hyperlink r:id="rId16" w:history="1">
        <w:r w:rsidRPr="00DD04A7">
          <w:rPr>
            <w:rStyle w:val="Hyperlink"/>
            <w:rFonts w:ascii="Century Gothic" w:hAnsi="Century Gothic"/>
            <w:color w:val="2F5496"/>
            <w:sz w:val="20"/>
            <w:szCs w:val="20"/>
            <w:lang w:val="hr-HR"/>
          </w:rPr>
          <w:t>adrese info@euislands.eu</w:t>
        </w:r>
      </w:hyperlink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 .</w:t>
      </w:r>
    </w:p>
    <w:p w14:paraId="2E956AE4" w14:textId="77777777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Više informacija o aktivnostima Tajništva potražite na </w:t>
      </w:r>
      <w:hyperlink r:id="rId17" w:history="1">
        <w:r w:rsidRPr="00DD04A7">
          <w:rPr>
            <w:rStyle w:val="Hyperlink"/>
            <w:rFonts w:ascii="Century Gothic" w:hAnsi="Century Gothic"/>
            <w:color w:val="2F5496"/>
            <w:sz w:val="20"/>
            <w:szCs w:val="20"/>
            <w:lang w:val="hr-HR"/>
          </w:rPr>
          <w:t>www.euislands.eu</w:t>
        </w:r>
      </w:hyperlink>
      <w:r w:rsidRPr="00DD04A7">
        <w:rPr>
          <w:rFonts w:ascii="Century Gothic" w:hAnsi="Century Gothic"/>
          <w:color w:val="2F5496"/>
          <w:sz w:val="20"/>
          <w:szCs w:val="20"/>
          <w:lang w:val="hr-HR"/>
        </w:rPr>
        <w:t> .</w:t>
      </w:r>
    </w:p>
    <w:p w14:paraId="7B0FAEE8" w14:textId="77777777" w:rsidR="008704A1" w:rsidRPr="00DD04A7" w:rsidRDefault="008704A1" w:rsidP="00F40752">
      <w:pPr>
        <w:spacing w:line="240" w:lineRule="auto"/>
        <w:rPr>
          <w:b/>
          <w:color w:val="2F5496" w:themeColor="accent1" w:themeShade="BF"/>
          <w:lang w:val="hr-HR"/>
        </w:rPr>
      </w:pPr>
    </w:p>
    <w:p w14:paraId="55BB0BD9" w14:textId="77777777" w:rsidR="006A2C15" w:rsidRPr="00DD04A7" w:rsidRDefault="006A2C15">
      <w:pPr>
        <w:spacing w:line="259" w:lineRule="auto"/>
        <w:jc w:val="left"/>
        <w:rPr>
          <w:b/>
          <w:lang w:val="hr-HR"/>
        </w:rPr>
      </w:pPr>
      <w:r w:rsidRPr="00DD04A7">
        <w:rPr>
          <w:b/>
          <w:lang w:val="hr-HR"/>
        </w:rPr>
        <w:br w:type="page"/>
      </w:r>
    </w:p>
    <w:p w14:paraId="2F0B1414" w14:textId="6FA162A0" w:rsidR="00BE77B0" w:rsidRPr="00DD04A7" w:rsidRDefault="00CC42D7" w:rsidP="00CC42D7">
      <w:pPr>
        <w:pStyle w:val="Heading2"/>
        <w:numPr>
          <w:ilvl w:val="0"/>
          <w:numId w:val="0"/>
        </w:numPr>
        <w:rPr>
          <w:lang w:val="hr-HR"/>
        </w:rPr>
      </w:pPr>
      <w:bookmarkStart w:id="11" w:name="_Toc24015555"/>
      <w:r w:rsidRPr="00DD04A7">
        <w:rPr>
          <w:lang w:val="hr-HR"/>
        </w:rPr>
        <w:lastRenderedPageBreak/>
        <w:t>Pr</w:t>
      </w:r>
      <w:bookmarkEnd w:id="9"/>
      <w:bookmarkEnd w:id="10"/>
      <w:bookmarkEnd w:id="11"/>
      <w:r w:rsidR="001F68E4">
        <w:rPr>
          <w:lang w:val="hr-HR"/>
        </w:rPr>
        <w:t>edgovor</w:t>
      </w:r>
    </w:p>
    <w:p w14:paraId="0FD87DB1" w14:textId="16E66EB8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color w:val="000000"/>
          <w:sz w:val="20"/>
          <w:szCs w:val="20"/>
          <w:lang w:val="hr-HR"/>
        </w:rPr>
        <w:t>Ovaj program tranzicije za čistu energiju za </w:t>
      </w:r>
      <w:r w:rsidRPr="00DD04A7">
        <w:rPr>
          <w:rFonts w:ascii="Century Gothic" w:hAnsi="Century Gothic"/>
          <w:color w:val="000000"/>
          <w:sz w:val="20"/>
          <w:szCs w:val="20"/>
          <w:shd w:val="clear" w:color="auto" w:fill="00FF00"/>
          <w:lang w:val="hr-HR"/>
        </w:rPr>
        <w:t>[ I</w:t>
      </w:r>
      <w:r w:rsidR="002752C4">
        <w:rPr>
          <w:rFonts w:ascii="Century Gothic" w:hAnsi="Century Gothic"/>
          <w:color w:val="000000"/>
          <w:sz w:val="20"/>
          <w:szCs w:val="20"/>
          <w:shd w:val="clear" w:color="auto" w:fill="00FF00"/>
          <w:lang w:val="hr-HR"/>
        </w:rPr>
        <w:t>naziv otoka</w:t>
      </w:r>
      <w:r w:rsidRPr="00DD04A7">
        <w:rPr>
          <w:rFonts w:ascii="Century Gothic" w:hAnsi="Century Gothic"/>
          <w:color w:val="000000"/>
          <w:sz w:val="20"/>
          <w:szCs w:val="20"/>
          <w:shd w:val="clear" w:color="auto" w:fill="00FF00"/>
          <w:lang w:val="hr-HR"/>
        </w:rPr>
        <w:t> ] </w:t>
      </w:r>
      <w:r w:rsidR="002752C4">
        <w:rPr>
          <w:rFonts w:ascii="Century Gothic" w:hAnsi="Century Gothic"/>
          <w:color w:val="000000"/>
          <w:sz w:val="20"/>
          <w:szCs w:val="20"/>
          <w:shd w:val="clear" w:color="auto" w:fill="00FF00"/>
          <w:lang w:val="hr-HR"/>
        </w:rPr>
        <w:t xml:space="preserve"> </w:t>
      </w:r>
      <w:r w:rsidRPr="00DD04A7">
        <w:rPr>
          <w:rFonts w:ascii="Century Gothic" w:hAnsi="Century Gothic"/>
          <w:color w:val="000000"/>
          <w:sz w:val="20"/>
          <w:szCs w:val="20"/>
          <w:lang w:val="hr-HR"/>
        </w:rPr>
        <w:t>strateški je i taktički plan za proces tranzicije prema čistoj energiji kako to žele sudionici na otoku.</w:t>
      </w:r>
    </w:p>
    <w:p w14:paraId="7F5AAADE" w14:textId="20C7DF28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color w:val="000000"/>
          <w:sz w:val="20"/>
          <w:szCs w:val="20"/>
          <w:lang w:val="hr-HR"/>
        </w:rPr>
        <w:t>T</w:t>
      </w:r>
      <w:r w:rsidR="002752C4">
        <w:rPr>
          <w:rFonts w:ascii="Century Gothic" w:hAnsi="Century Gothic"/>
          <w:color w:val="000000"/>
          <w:sz w:val="20"/>
          <w:szCs w:val="20"/>
          <w:lang w:val="hr-HR"/>
        </w:rPr>
        <w:t xml:space="preserve">ranzicijski plan ka čistoj energiji je </w:t>
      </w:r>
      <w:r w:rsidRPr="00DD04A7">
        <w:rPr>
          <w:rFonts w:ascii="Century Gothic" w:hAnsi="Century Gothic"/>
          <w:color w:val="000000"/>
          <w:sz w:val="20"/>
          <w:szCs w:val="20"/>
          <w:lang w:val="hr-HR"/>
        </w:rPr>
        <w:t>razvi</w:t>
      </w:r>
      <w:r w:rsidR="002752C4">
        <w:rPr>
          <w:rFonts w:ascii="Century Gothic" w:hAnsi="Century Gothic"/>
          <w:color w:val="000000"/>
          <w:sz w:val="20"/>
          <w:szCs w:val="20"/>
          <w:lang w:val="hr-HR"/>
        </w:rPr>
        <w:t>jen u suradnji s</w:t>
      </w:r>
      <w:r w:rsidRPr="00DD04A7">
        <w:rPr>
          <w:rFonts w:ascii="Century Gothic" w:hAnsi="Century Gothic"/>
          <w:color w:val="000000"/>
          <w:sz w:val="20"/>
          <w:szCs w:val="20"/>
          <w:lang w:val="hr-HR"/>
        </w:rPr>
        <w:t> </w:t>
      </w:r>
      <w:r w:rsidRPr="00DD04A7">
        <w:rPr>
          <w:rFonts w:ascii="Century Gothic" w:hAnsi="Century Gothic"/>
          <w:color w:val="000000"/>
          <w:sz w:val="20"/>
          <w:szCs w:val="20"/>
          <w:shd w:val="clear" w:color="auto" w:fill="00FF00"/>
          <w:lang w:val="hr-HR"/>
        </w:rPr>
        <w:t>[ dionicima1 ] </w:t>
      </w:r>
      <w:r w:rsidRPr="00DD04A7">
        <w:rPr>
          <w:rFonts w:ascii="Century Gothic" w:hAnsi="Century Gothic"/>
          <w:color w:val="000000"/>
          <w:sz w:val="20"/>
          <w:szCs w:val="20"/>
          <w:lang w:val="hr-HR"/>
        </w:rPr>
        <w:t>, </w:t>
      </w:r>
      <w:r w:rsidRPr="00DD04A7">
        <w:rPr>
          <w:rFonts w:ascii="Century Gothic" w:hAnsi="Century Gothic"/>
          <w:color w:val="000000"/>
          <w:sz w:val="20"/>
          <w:szCs w:val="20"/>
          <w:shd w:val="clear" w:color="auto" w:fill="00FF00"/>
          <w:lang w:val="hr-HR"/>
        </w:rPr>
        <w:t>[ dionici 2 ], itd </w:t>
      </w:r>
      <w:r w:rsidRPr="00DD04A7">
        <w:rPr>
          <w:rFonts w:ascii="Century Gothic" w:hAnsi="Century Gothic"/>
          <w:color w:val="000000"/>
          <w:sz w:val="20"/>
          <w:szCs w:val="20"/>
          <w:lang w:val="hr-HR"/>
        </w:rPr>
        <w:t>. uz podršku </w:t>
      </w:r>
      <w:r w:rsidRPr="00DD04A7">
        <w:rPr>
          <w:rFonts w:ascii="Century Gothic" w:hAnsi="Century Gothic"/>
          <w:color w:val="000000"/>
          <w:sz w:val="20"/>
          <w:szCs w:val="20"/>
          <w:shd w:val="clear" w:color="auto" w:fill="00FF00"/>
          <w:lang w:val="hr-HR"/>
        </w:rPr>
        <w:t>[dionika 3], [dionika 4] , itd.</w:t>
      </w:r>
    </w:p>
    <w:p w14:paraId="5459EFFF" w14:textId="30A07557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Prijelazni program mora odobriti cijeli prijelazni tim prije službenog objavljivanja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. Tranzicij</w:t>
      </w:r>
      <w:r w:rsidR="002752C4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ski tim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potič</w:t>
      </w:r>
      <w:r w:rsidR="002752C4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 dijeljenje vizijei plana kako bi se zaprimilo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povratne informacije iz cijel</w:t>
      </w:r>
      <w:r w:rsidR="002752C4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tranzicij</w:t>
      </w:r>
      <w:r w:rsidR="002752C4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ske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zajednice.</w:t>
      </w:r>
    </w:p>
    <w:p w14:paraId="3E9C5E3F" w14:textId="77777777" w:rsidR="008704A1" w:rsidRPr="00DD04A7" w:rsidRDefault="008704A1" w:rsidP="004A4459">
      <w:pPr>
        <w:rPr>
          <w:i/>
          <w:lang w:val="hr-HR"/>
        </w:rPr>
      </w:pPr>
    </w:p>
    <w:p w14:paraId="5CF867C1" w14:textId="33B0733F" w:rsidR="00B9253A" w:rsidRPr="00DD04A7" w:rsidRDefault="00B9253A" w:rsidP="004A4459">
      <w:pPr>
        <w:rPr>
          <w:lang w:val="hr-HR"/>
        </w:rPr>
      </w:pPr>
    </w:p>
    <w:p w14:paraId="503F5513" w14:textId="65678401" w:rsidR="006A2C15" w:rsidRPr="00DD04A7" w:rsidRDefault="006A2C15">
      <w:pPr>
        <w:spacing w:line="259" w:lineRule="auto"/>
        <w:jc w:val="left"/>
        <w:rPr>
          <w:lang w:val="hr-HR"/>
        </w:rPr>
      </w:pPr>
      <w:r w:rsidRPr="00DD04A7">
        <w:rPr>
          <w:lang w:val="hr-HR"/>
        </w:rPr>
        <w:br w:type="page"/>
      </w:r>
    </w:p>
    <w:p w14:paraId="576347E1" w14:textId="7BE261D0" w:rsidR="00CC42D7" w:rsidRPr="00DD04A7" w:rsidRDefault="00DC1504" w:rsidP="00CC42D7">
      <w:pPr>
        <w:pStyle w:val="Heading2"/>
        <w:numPr>
          <w:ilvl w:val="0"/>
          <w:numId w:val="0"/>
        </w:numPr>
        <w:ind w:left="714" w:hanging="357"/>
        <w:rPr>
          <w:lang w:val="hr-HR"/>
        </w:rPr>
      </w:pPr>
      <w:r>
        <w:rPr>
          <w:lang w:val="hr-HR"/>
        </w:rPr>
        <w:lastRenderedPageBreak/>
        <w:t>Sadržaj</w:t>
      </w:r>
    </w:p>
    <w:p w14:paraId="63B1C6F9" w14:textId="5005B44B" w:rsidR="00DA2376" w:rsidRPr="00DD04A7" w:rsidRDefault="00CC42D7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r w:rsidRPr="00DD04A7">
        <w:rPr>
          <w:lang w:val="hr-HR"/>
        </w:rPr>
        <w:fldChar w:fldCharType="begin"/>
      </w:r>
      <w:r w:rsidRPr="00DD04A7">
        <w:rPr>
          <w:lang w:val="hr-HR"/>
        </w:rPr>
        <w:instrText xml:space="preserve"> TOC \o "1-3" \h \z \u </w:instrText>
      </w:r>
      <w:r w:rsidRPr="00DD04A7">
        <w:rPr>
          <w:lang w:val="hr-HR"/>
        </w:rPr>
        <w:fldChar w:fldCharType="separate"/>
      </w:r>
      <w:hyperlink w:anchor="_Toc24015554" w:history="1">
        <w:r w:rsidR="00DC1504">
          <w:rPr>
            <w:rStyle w:val="Hyperlink"/>
            <w:noProof/>
            <w:lang w:val="hr-HR"/>
          </w:rPr>
          <w:t>Upute autorima Tranzicijskog plana ka čistoj energiji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_Toc24015554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2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362B270F" w14:textId="0615A8DA" w:rsidR="00DA2376" w:rsidRPr="00DD04A7" w:rsidRDefault="00A534D9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55" w:history="1">
        <w:r w:rsidR="00DC1504">
          <w:rPr>
            <w:rStyle w:val="Hyperlink"/>
            <w:noProof/>
            <w:lang w:val="hr-HR"/>
          </w:rPr>
          <w:t>Predgovor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_Toc24015555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3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308633CE" w14:textId="3902C9CE" w:rsidR="00DA2376" w:rsidRPr="00DD04A7" w:rsidRDefault="00A534D9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56" w:history="1">
        <w:r w:rsidR="00DC1504">
          <w:rPr>
            <w:rStyle w:val="Hyperlink"/>
            <w:noProof/>
            <w:lang w:val="hr-HR"/>
          </w:rPr>
          <w:t>Sadržaj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_Toc24015556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4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277E3902" w14:textId="5B8A21B7" w:rsidR="00DA2376" w:rsidRPr="00DD04A7" w:rsidRDefault="00A534D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57" w:history="1">
        <w:r w:rsidR="00DC1504">
          <w:rPr>
            <w:rStyle w:val="Hyperlink"/>
            <w:noProof/>
            <w:lang w:val="hr-HR"/>
          </w:rPr>
          <w:t>Dio</w:t>
        </w:r>
        <w:r w:rsidR="00DA2376" w:rsidRPr="00DD04A7">
          <w:rPr>
            <w:rStyle w:val="Hyperlink"/>
            <w:noProof/>
            <w:lang w:val="hr-HR"/>
          </w:rPr>
          <w:t xml:space="preserve"> I: </w:t>
        </w:r>
        <w:r w:rsidR="00DC1504">
          <w:rPr>
            <w:rStyle w:val="Hyperlink"/>
            <w:noProof/>
            <w:lang w:val="hr-HR"/>
          </w:rPr>
          <w:t>Otočna dinamika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_Toc24015557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5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305DCD08" w14:textId="27F410C9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58" w:history="1">
        <w:r w:rsidR="00DA2376" w:rsidRPr="00DD04A7">
          <w:rPr>
            <w:rStyle w:val="Hyperlink"/>
            <w:noProof/>
            <w:lang w:val="hr-HR"/>
          </w:rPr>
          <w:t>1.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DC1504">
          <w:rPr>
            <w:rFonts w:asciiTheme="minorHAnsi" w:eastAsiaTheme="minorEastAsia" w:hAnsiTheme="minorHAnsi"/>
            <w:noProof/>
            <w:sz w:val="22"/>
            <w:lang w:val="hr-HR" w:eastAsia="en-GB"/>
          </w:rPr>
          <w:t>Geografija, gospodarstvo i stanovništvo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_Toc24015558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5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198F7471" w14:textId="67EC5ABD" w:rsidR="00DA2376" w:rsidRPr="00DD04A7" w:rsidRDefault="00DC1504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r>
        <w:t>Geografija</w:t>
      </w:r>
    </w:p>
    <w:p w14:paraId="2F72BFEF" w14:textId="5BBCC556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60" w:history="1">
        <w:r w:rsidR="00DA2376" w:rsidRPr="00DD04A7">
          <w:rPr>
            <w:rStyle w:val="Hyperlink"/>
            <w:lang w:val="hr-HR"/>
          </w:rPr>
          <w:t>Demogra</w:t>
        </w:r>
        <w:r w:rsidR="00DC1504">
          <w:rPr>
            <w:rStyle w:val="Hyperlink"/>
            <w:lang w:val="hr-HR"/>
          </w:rPr>
          <w:t>fsko stanje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_Toc24015560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5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603A0618" w14:textId="07218C39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61" w:history="1">
        <w:r w:rsidR="00DA2376" w:rsidRPr="00DD04A7">
          <w:rPr>
            <w:rStyle w:val="Hyperlink"/>
            <w:lang w:val="hr-HR"/>
          </w:rPr>
          <w:t>Lo</w:t>
        </w:r>
        <w:r w:rsidR="00DC1504">
          <w:rPr>
            <w:rStyle w:val="Hyperlink"/>
            <w:lang w:val="hr-HR"/>
          </w:rPr>
          <w:t>kalna samouprava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_Toc24015561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5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2D08B17E" w14:textId="44B1EF8D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62" w:history="1">
        <w:r w:rsidR="00DC1504">
          <w:rPr>
            <w:rStyle w:val="Hyperlink"/>
            <w:lang w:val="hr-HR"/>
          </w:rPr>
          <w:t>Gospodarske aktivnosti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_Toc24015562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5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418E0265" w14:textId="056966A8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63" w:history="1">
        <w:r w:rsidR="00DC1504">
          <w:rPr>
            <w:rStyle w:val="Hyperlink"/>
            <w:lang w:val="hr-HR"/>
          </w:rPr>
          <w:t>Povezanost s kopnom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_Toc24015563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5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7FFEAB70" w14:textId="5144FD12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64" w:history="1">
        <w:r w:rsidR="00DA2376" w:rsidRPr="00DD04A7">
          <w:rPr>
            <w:rStyle w:val="Hyperlink"/>
            <w:noProof/>
            <w:lang w:val="hr-HR"/>
          </w:rPr>
          <w:t>2.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DC1504">
          <w:rPr>
            <w:rStyle w:val="Hyperlink"/>
            <w:noProof/>
            <w:lang w:val="hr-HR"/>
          </w:rPr>
          <w:t xml:space="preserve">Opis energetskog </w:t>
        </w:r>
        <w:r w:rsidR="00885135">
          <w:rPr>
            <w:rStyle w:val="Hyperlink"/>
            <w:noProof/>
            <w:lang w:val="hr-HR"/>
          </w:rPr>
          <w:t>sustava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_Toc24015564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6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6803E437" w14:textId="3427F2AF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65" w:history="1">
        <w:r w:rsidR="00DA2376" w:rsidRPr="00DD04A7">
          <w:rPr>
            <w:rStyle w:val="Hyperlink"/>
            <w:noProof/>
            <w:lang w:val="hr-HR"/>
          </w:rPr>
          <w:t>3.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885135">
          <w:rPr>
            <w:rStyle w:val="Hyperlink"/>
            <w:noProof/>
            <w:lang w:val="hr-HR"/>
          </w:rPr>
          <w:t>Dionici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_Toc24015565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8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78570DFC" w14:textId="611F4955" w:rsidR="00DA2376" w:rsidRPr="00DD04A7" w:rsidRDefault="00885135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r>
        <w:t>Organizacije civilnog društva</w:t>
      </w:r>
    </w:p>
    <w:p w14:paraId="3EC06DFD" w14:textId="279EFBBA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67" w:history="1">
        <w:r w:rsidR="00885135">
          <w:rPr>
            <w:rStyle w:val="Hyperlink"/>
            <w:lang w:val="hr-HR"/>
          </w:rPr>
          <w:t>Poslovni sektor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_Toc24015567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8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77485D0C" w14:textId="7047865E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68" w:history="1">
        <w:r w:rsidR="00885135">
          <w:rPr>
            <w:rStyle w:val="Hyperlink"/>
            <w:lang w:val="hr-HR"/>
          </w:rPr>
          <w:t>Javni sektor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_Toc24015568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8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2E2682E8" w14:textId="3873BCCB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69" w:history="1">
        <w:r w:rsidR="00885135">
          <w:rPr>
            <w:rStyle w:val="Hyperlink"/>
            <w:lang w:val="hr-HR"/>
          </w:rPr>
          <w:t>Škole i sveučilišta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_Toc24015569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9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1678C757" w14:textId="10BEE363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70" w:history="1">
        <w:r w:rsidR="00DA2376" w:rsidRPr="00DD04A7">
          <w:rPr>
            <w:rStyle w:val="Hyperlink"/>
            <w:noProof/>
            <w:lang w:val="hr-HR"/>
          </w:rPr>
          <w:t>4.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885135">
          <w:rPr>
            <w:rStyle w:val="Hyperlink"/>
            <w:noProof/>
            <w:lang w:val="hr-HR"/>
          </w:rPr>
          <w:t>Energetska politika i regulativa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_Toc24015570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10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32840BE7" w14:textId="5423A651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71" w:history="1">
        <w:r w:rsidR="00885135">
          <w:rPr>
            <w:rStyle w:val="Hyperlink"/>
            <w:lang w:val="hr-HR"/>
          </w:rPr>
          <w:t>Lokalna politika i regulativa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_Toc24015571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10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0EC978B5" w14:textId="20D18072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72" w:history="1">
        <w:r w:rsidR="00885135">
          <w:rPr>
            <w:rStyle w:val="Hyperlink"/>
            <w:lang w:val="hr-HR"/>
          </w:rPr>
          <w:t>Regionalna politika i regulativa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_Toc24015572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10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62287EC9" w14:textId="0AE2C548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73" w:history="1">
        <w:r w:rsidR="00885135">
          <w:rPr>
            <w:rStyle w:val="Hyperlink"/>
            <w:lang w:val="hr-HR"/>
          </w:rPr>
          <w:t>Nacionalna politika i regulativa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_Toc24015573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10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4694C65A" w14:textId="1F9795AD" w:rsidR="00DA2376" w:rsidRPr="00DD04A7" w:rsidRDefault="00A534D9">
      <w:pPr>
        <w:pStyle w:val="TOC3"/>
        <w:rPr>
          <w:rFonts w:asciiTheme="minorHAnsi" w:eastAsiaTheme="minorEastAsia" w:hAnsiTheme="minorHAnsi"/>
          <w:color w:val="auto"/>
          <w:sz w:val="22"/>
          <w:lang w:val="hr-HR" w:eastAsia="en-GB"/>
        </w:rPr>
      </w:pPr>
      <w:hyperlink w:anchor="_Toc24015574" w:history="1">
        <w:r w:rsidR="00885135">
          <w:rPr>
            <w:rStyle w:val="Hyperlink"/>
            <w:lang w:val="hr-HR"/>
          </w:rPr>
          <w:t>Europska politika i regulativa</w:t>
        </w:r>
        <w:r w:rsidR="00DA2376" w:rsidRPr="00DD04A7">
          <w:rPr>
            <w:webHidden/>
            <w:lang w:val="hr-HR"/>
          </w:rPr>
          <w:tab/>
        </w:r>
        <w:r w:rsidR="00DA2376" w:rsidRPr="00DD04A7">
          <w:rPr>
            <w:webHidden/>
            <w:lang w:val="hr-HR"/>
          </w:rPr>
          <w:fldChar w:fldCharType="begin"/>
        </w:r>
        <w:r w:rsidR="00DA2376" w:rsidRPr="00DD04A7">
          <w:rPr>
            <w:webHidden/>
            <w:lang w:val="hr-HR"/>
          </w:rPr>
          <w:instrText xml:space="preserve"> PAGEREF _Toc24015574 \h </w:instrText>
        </w:r>
        <w:r w:rsidR="00DA2376" w:rsidRPr="00DD04A7">
          <w:rPr>
            <w:webHidden/>
            <w:lang w:val="hr-HR"/>
          </w:rPr>
        </w:r>
        <w:r w:rsidR="00DA2376" w:rsidRPr="00DD04A7">
          <w:rPr>
            <w:webHidden/>
            <w:lang w:val="hr-HR"/>
          </w:rPr>
          <w:fldChar w:fldCharType="separate"/>
        </w:r>
        <w:r w:rsidR="00DA2376" w:rsidRPr="00DD04A7">
          <w:rPr>
            <w:webHidden/>
            <w:lang w:val="hr-HR"/>
          </w:rPr>
          <w:t>10</w:t>
        </w:r>
        <w:r w:rsidR="00DA2376" w:rsidRPr="00DD04A7">
          <w:rPr>
            <w:webHidden/>
            <w:lang w:val="hr-HR"/>
          </w:rPr>
          <w:fldChar w:fldCharType="end"/>
        </w:r>
      </w:hyperlink>
    </w:p>
    <w:p w14:paraId="548A42A9" w14:textId="27934E20" w:rsidR="00DA2376" w:rsidRPr="00DD04A7" w:rsidRDefault="00A534D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75" w:history="1">
        <w:r w:rsidR="00885135">
          <w:rPr>
            <w:rStyle w:val="Hyperlink"/>
            <w:noProof/>
            <w:lang w:val="hr-HR"/>
          </w:rPr>
          <w:t>Dio</w:t>
        </w:r>
        <w:r w:rsidR="00DA2376" w:rsidRPr="00DD04A7">
          <w:rPr>
            <w:rStyle w:val="Hyperlink"/>
            <w:noProof/>
            <w:lang w:val="hr-HR"/>
          </w:rPr>
          <w:t xml:space="preserve"> II: </w:t>
        </w:r>
        <w:r w:rsidR="00BA5838">
          <w:rPr>
            <w:rStyle w:val="Hyperlink"/>
            <w:noProof/>
            <w:lang w:val="hr-HR"/>
          </w:rPr>
          <w:t>Smjer energetske tranzicije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_Toc24015575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11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572C30AC" w14:textId="741D5D87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76" w:history="1">
        <w:r w:rsidR="00DA2376" w:rsidRPr="00DD04A7">
          <w:rPr>
            <w:rStyle w:val="Hyperlink"/>
            <w:noProof/>
            <w:lang w:val="hr-HR"/>
          </w:rPr>
          <w:t>1.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BA5838">
          <w:rPr>
            <w:rStyle w:val="Hyperlink"/>
            <w:noProof/>
            <w:lang w:val="hr-HR"/>
          </w:rPr>
          <w:t>Vizija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_Toc24015576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12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55542A2C" w14:textId="7FEB9863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77" w:history="1">
        <w:r w:rsidR="00DA2376" w:rsidRPr="00DD04A7">
          <w:rPr>
            <w:rStyle w:val="Hyperlink"/>
            <w:noProof/>
            <w:lang w:val="hr-HR"/>
          </w:rPr>
          <w:t>2.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BA5838">
          <w:rPr>
            <w:rStyle w:val="Hyperlink"/>
            <w:noProof/>
            <w:lang w:val="hr-HR"/>
          </w:rPr>
          <w:t>Upravljanje tranzicijom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_Toc24015577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13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18E2C536" w14:textId="6B331CD4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78" w:history="1">
        <w:r w:rsidR="00DA2376" w:rsidRPr="00DD04A7">
          <w:rPr>
            <w:rStyle w:val="Hyperlink"/>
            <w:noProof/>
            <w:lang w:val="hr-HR"/>
          </w:rPr>
          <w:t>3.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BA5838">
          <w:rPr>
            <w:rFonts w:asciiTheme="minorHAnsi" w:eastAsiaTheme="minorEastAsia" w:hAnsiTheme="minorHAnsi"/>
            <w:noProof/>
            <w:sz w:val="22"/>
            <w:lang w:val="hr-HR" w:eastAsia="en-GB"/>
          </w:rPr>
          <w:t>Smjerovi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_Toc24015578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14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4EB45952" w14:textId="5F6CD03A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79" w:history="1">
        <w:r w:rsidR="00DA2376" w:rsidRPr="00DD04A7">
          <w:rPr>
            <w:rStyle w:val="Hyperlink"/>
            <w:noProof/>
            <w:lang w:val="hr-HR"/>
          </w:rPr>
          <w:t>4.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BA5838">
          <w:rPr>
            <w:rFonts w:asciiTheme="minorHAnsi" w:eastAsiaTheme="minorEastAsia" w:hAnsiTheme="minorHAnsi"/>
            <w:noProof/>
            <w:sz w:val="22"/>
            <w:lang w:val="hr-HR" w:eastAsia="en-GB"/>
          </w:rPr>
          <w:t>Stupovi energetske tranzciije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_Toc24015579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15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77D37B2C" w14:textId="09A32891" w:rsidR="00DA2376" w:rsidRPr="00DD04A7" w:rsidRDefault="00A534D9">
      <w:pPr>
        <w:pStyle w:val="TOC2"/>
        <w:tabs>
          <w:tab w:val="left" w:pos="660"/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80" w:history="1">
        <w:r w:rsidR="00DA2376" w:rsidRPr="00DD04A7">
          <w:rPr>
            <w:rStyle w:val="Hyperlink"/>
            <w:noProof/>
            <w:lang w:val="hr-HR"/>
          </w:rPr>
          <w:t>5.</w:t>
        </w:r>
        <w:r w:rsidR="00DA2376" w:rsidRPr="00DD04A7">
          <w:rPr>
            <w:rFonts w:asciiTheme="minorHAnsi" w:eastAsiaTheme="minorEastAsia" w:hAnsiTheme="minorHAnsi"/>
            <w:noProof/>
            <w:sz w:val="22"/>
            <w:lang w:val="hr-HR" w:eastAsia="en-GB"/>
          </w:rPr>
          <w:tab/>
        </w:r>
        <w:r w:rsidR="00BA5838">
          <w:rPr>
            <w:rStyle w:val="Hyperlink"/>
            <w:noProof/>
            <w:lang w:val="hr-HR"/>
          </w:rPr>
          <w:t>Praćenje provedbe i diseminacija podataka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_Toc24015580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16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072945C4" w14:textId="4558F7E6" w:rsidR="00DA2376" w:rsidRPr="00DD04A7" w:rsidRDefault="00A534D9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 w:val="22"/>
          <w:lang w:val="hr-HR" w:eastAsia="en-GB"/>
        </w:rPr>
      </w:pPr>
      <w:hyperlink w:anchor="_Toc24015581" w:history="1">
        <w:r w:rsidR="00BA5838">
          <w:rPr>
            <w:rStyle w:val="Hyperlink"/>
            <w:noProof/>
            <w:lang w:val="hr-HR"/>
          </w:rPr>
          <w:t>Literatura</w:t>
        </w:r>
        <w:r w:rsidR="00DA2376" w:rsidRPr="00DD04A7">
          <w:rPr>
            <w:noProof/>
            <w:webHidden/>
            <w:lang w:val="hr-HR"/>
          </w:rPr>
          <w:tab/>
        </w:r>
        <w:r w:rsidR="00DA2376" w:rsidRPr="00DD04A7">
          <w:rPr>
            <w:noProof/>
            <w:webHidden/>
            <w:lang w:val="hr-HR"/>
          </w:rPr>
          <w:fldChar w:fldCharType="begin"/>
        </w:r>
        <w:r w:rsidR="00DA2376" w:rsidRPr="00DD04A7">
          <w:rPr>
            <w:noProof/>
            <w:webHidden/>
            <w:lang w:val="hr-HR"/>
          </w:rPr>
          <w:instrText xml:space="preserve"> PAGEREF _Toc24015581 \h </w:instrText>
        </w:r>
        <w:r w:rsidR="00DA2376" w:rsidRPr="00DD04A7">
          <w:rPr>
            <w:noProof/>
            <w:webHidden/>
            <w:lang w:val="hr-HR"/>
          </w:rPr>
        </w:r>
        <w:r w:rsidR="00DA2376" w:rsidRPr="00DD04A7">
          <w:rPr>
            <w:noProof/>
            <w:webHidden/>
            <w:lang w:val="hr-HR"/>
          </w:rPr>
          <w:fldChar w:fldCharType="separate"/>
        </w:r>
        <w:r w:rsidR="00DA2376" w:rsidRPr="00DD04A7">
          <w:rPr>
            <w:noProof/>
            <w:webHidden/>
            <w:lang w:val="hr-HR"/>
          </w:rPr>
          <w:t>18</w:t>
        </w:r>
        <w:r w:rsidR="00DA2376" w:rsidRPr="00DD04A7">
          <w:rPr>
            <w:noProof/>
            <w:webHidden/>
            <w:lang w:val="hr-HR"/>
          </w:rPr>
          <w:fldChar w:fldCharType="end"/>
        </w:r>
      </w:hyperlink>
    </w:p>
    <w:p w14:paraId="163DCE93" w14:textId="3C955770" w:rsidR="001D1EC9" w:rsidRDefault="00CC42D7" w:rsidP="00BA5838">
      <w:pPr>
        <w:rPr>
          <w:lang w:val="hr-HR"/>
        </w:rPr>
      </w:pPr>
      <w:r w:rsidRPr="00DD04A7">
        <w:rPr>
          <w:lang w:val="hr-HR"/>
        </w:rPr>
        <w:fldChar w:fldCharType="end"/>
      </w:r>
    </w:p>
    <w:p w14:paraId="48484372" w14:textId="77777777" w:rsidR="00BA5838" w:rsidRPr="00BA5838" w:rsidRDefault="00BA5838" w:rsidP="00BA5838">
      <w:pPr>
        <w:rPr>
          <w:lang w:val="hr-HR"/>
        </w:rPr>
      </w:pPr>
    </w:p>
    <w:p w14:paraId="5C2A9705" w14:textId="1C05D8B1" w:rsidR="00106D24" w:rsidRPr="00DD04A7" w:rsidRDefault="00BA5838" w:rsidP="00106D24">
      <w:pPr>
        <w:pStyle w:val="Heading1"/>
        <w:rPr>
          <w:lang w:val="hr-HR"/>
        </w:rPr>
      </w:pPr>
      <w:bookmarkStart w:id="12" w:name="_Toc24015557"/>
      <w:r>
        <w:rPr>
          <w:lang w:val="hr-HR"/>
        </w:rPr>
        <w:lastRenderedPageBreak/>
        <w:t>Dio</w:t>
      </w:r>
      <w:r w:rsidR="00CC42D7" w:rsidRPr="00DD04A7">
        <w:rPr>
          <w:lang w:val="hr-HR"/>
        </w:rPr>
        <w:t xml:space="preserve"> I: </w:t>
      </w:r>
      <w:r>
        <w:rPr>
          <w:lang w:val="hr-HR"/>
        </w:rPr>
        <w:t>Otočna dinamika</w:t>
      </w:r>
      <w:bookmarkEnd w:id="12"/>
    </w:p>
    <w:p w14:paraId="5C98312C" w14:textId="58A750E2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Dio I Programa tranzicije čiste energije ima za cilj pružiti sliku trenutnog stanja otoka. To uključuje opis geografskog, gospodarskog i političkog stanja na otoku, ali i analiz</w:t>
      </w:r>
      <w:r w:rsidR="00BA58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u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energetskog sustava i dionika</w:t>
      </w:r>
      <w:r w:rsidR="00BA58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koji su relevantni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za tranziciju čiste energije.</w:t>
      </w:r>
    </w:p>
    <w:p w14:paraId="72D47BA4" w14:textId="77777777" w:rsidR="008704A1" w:rsidRPr="00DD04A7" w:rsidRDefault="008704A1" w:rsidP="00DA2376">
      <w:pPr>
        <w:rPr>
          <w:i/>
          <w:color w:val="2F5496" w:themeColor="accent1" w:themeShade="BF"/>
          <w:lang w:val="hr-HR"/>
        </w:rPr>
      </w:pPr>
    </w:p>
    <w:p w14:paraId="68F08ECE" w14:textId="637D213D" w:rsidR="00B631E3" w:rsidRPr="00DD04A7" w:rsidRDefault="00BA5838" w:rsidP="00B631E3">
      <w:pPr>
        <w:pStyle w:val="Heading2"/>
        <w:rPr>
          <w:lang w:val="hr-HR"/>
        </w:rPr>
      </w:pPr>
      <w:bookmarkStart w:id="13" w:name="_Toc24015558"/>
      <w:bookmarkStart w:id="14" w:name="_Hlk7000143"/>
      <w:r>
        <w:rPr>
          <w:lang w:val="hr-HR"/>
        </w:rPr>
        <w:t>Geografija, gospodarstvo i stanovništvo</w:t>
      </w:r>
      <w:bookmarkEnd w:id="13"/>
    </w:p>
    <w:p w14:paraId="6FA35591" w14:textId="1F4354FE" w:rsidR="00B631E3" w:rsidRPr="00DD04A7" w:rsidRDefault="00B631E3" w:rsidP="00B631E3">
      <w:pPr>
        <w:pStyle w:val="Heading3"/>
        <w:rPr>
          <w:lang w:val="hr-HR"/>
        </w:rPr>
      </w:pPr>
      <w:bookmarkStart w:id="15" w:name="_Toc2349142"/>
      <w:bookmarkStart w:id="16" w:name="_Toc24015559"/>
      <w:bookmarkEnd w:id="14"/>
      <w:r w:rsidRPr="00DD04A7">
        <w:rPr>
          <w:lang w:val="hr-HR"/>
        </w:rPr>
        <w:t>Geogra</w:t>
      </w:r>
      <w:bookmarkEnd w:id="15"/>
      <w:bookmarkEnd w:id="16"/>
      <w:r w:rsidR="00BA5838">
        <w:rPr>
          <w:lang w:val="hr-HR"/>
        </w:rPr>
        <w:t>fija</w:t>
      </w:r>
    </w:p>
    <w:p w14:paraId="62DB9857" w14:textId="1D39429F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bookmarkStart w:id="17" w:name="_Toc2349143"/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Opišite geografske značajke otoka koji su relevantni za proces tranzicije.</w:t>
      </w:r>
    </w:p>
    <w:p w14:paraId="4CBE7127" w14:textId="2A5D5835" w:rsidR="00B9253A" w:rsidRPr="00DD04A7" w:rsidRDefault="00B9253A" w:rsidP="00122E9E">
      <w:pPr>
        <w:rPr>
          <w:i/>
          <w:color w:val="2F5496" w:themeColor="accent1" w:themeShade="BF"/>
          <w:lang w:val="hr-HR"/>
        </w:rPr>
      </w:pPr>
    </w:p>
    <w:p w14:paraId="40F55326" w14:textId="77777777" w:rsidR="0045133A" w:rsidRPr="00DD04A7" w:rsidRDefault="0045133A" w:rsidP="00122E9E">
      <w:pPr>
        <w:rPr>
          <w:lang w:val="hr-HR"/>
        </w:rPr>
      </w:pPr>
    </w:p>
    <w:p w14:paraId="2CFAF6C2" w14:textId="58C078CF" w:rsidR="008704A1" w:rsidRPr="00A127A0" w:rsidRDefault="00B631E3" w:rsidP="00A127A0">
      <w:pPr>
        <w:pStyle w:val="Heading3"/>
        <w:rPr>
          <w:lang w:val="hr-HR"/>
        </w:rPr>
      </w:pPr>
      <w:bookmarkStart w:id="18" w:name="_Toc24015560"/>
      <w:r w:rsidRPr="00DD04A7">
        <w:rPr>
          <w:lang w:val="hr-HR"/>
        </w:rPr>
        <w:t>Demogra</w:t>
      </w:r>
      <w:bookmarkStart w:id="19" w:name="_Toc2349144"/>
      <w:bookmarkEnd w:id="17"/>
      <w:bookmarkEnd w:id="18"/>
      <w:r w:rsidR="00A127A0">
        <w:rPr>
          <w:lang w:val="hr-HR"/>
        </w:rPr>
        <w:t>fsko stanje</w:t>
      </w:r>
    </w:p>
    <w:p w14:paraId="32D93F61" w14:textId="77777777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Opišite relevantna demografska razmatranja u kontekstu tranzicijskog procesa.</w:t>
      </w:r>
    </w:p>
    <w:p w14:paraId="18B7407F" w14:textId="3E53B95D" w:rsidR="004A4459" w:rsidRPr="00DD04A7" w:rsidRDefault="004A4459" w:rsidP="0045133A">
      <w:pPr>
        <w:rPr>
          <w:i/>
          <w:color w:val="2F5496" w:themeColor="accent1" w:themeShade="BF"/>
          <w:lang w:val="hr-HR"/>
        </w:rPr>
      </w:pPr>
      <w:r w:rsidRPr="00DD04A7">
        <w:rPr>
          <w:i/>
          <w:color w:val="2F5496" w:themeColor="accent1" w:themeShade="BF"/>
          <w:lang w:val="hr-HR"/>
        </w:rPr>
        <w:t xml:space="preserve"> </w:t>
      </w:r>
    </w:p>
    <w:p w14:paraId="1CC75508" w14:textId="77777777" w:rsidR="0045133A" w:rsidRPr="00DD04A7" w:rsidRDefault="0045133A" w:rsidP="00122E9E">
      <w:pPr>
        <w:rPr>
          <w:lang w:val="hr-HR"/>
        </w:rPr>
      </w:pPr>
    </w:p>
    <w:p w14:paraId="72D24CEE" w14:textId="32128DDC" w:rsidR="00B631E3" w:rsidRPr="00DD04A7" w:rsidRDefault="00B631E3" w:rsidP="00B631E3">
      <w:pPr>
        <w:pStyle w:val="Heading3"/>
        <w:rPr>
          <w:lang w:val="hr-HR"/>
        </w:rPr>
      </w:pPr>
      <w:bookmarkStart w:id="20" w:name="_Toc24015561"/>
      <w:r w:rsidRPr="00DD04A7">
        <w:rPr>
          <w:lang w:val="hr-HR"/>
        </w:rPr>
        <w:t>Lo</w:t>
      </w:r>
      <w:bookmarkEnd w:id="19"/>
      <w:bookmarkEnd w:id="20"/>
      <w:r w:rsidR="00A127A0">
        <w:rPr>
          <w:lang w:val="hr-HR"/>
        </w:rPr>
        <w:t>kalna samouprava</w:t>
      </w:r>
    </w:p>
    <w:p w14:paraId="251CE62A" w14:textId="77777777" w:rsidR="008704A1" w:rsidRPr="00DD04A7" w:rsidRDefault="008704A1" w:rsidP="008704A1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bookmarkStart w:id="21" w:name="_Toc2349145"/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Opišite ulogu lokalne uprave u procesu tranzicije .</w:t>
      </w:r>
    </w:p>
    <w:p w14:paraId="0A3818D2" w14:textId="77777777" w:rsidR="008704A1" w:rsidRPr="00DD04A7" w:rsidRDefault="008704A1" w:rsidP="0045133A">
      <w:pPr>
        <w:rPr>
          <w:i/>
          <w:color w:val="2F5496" w:themeColor="accent1" w:themeShade="BF"/>
          <w:lang w:val="hr-HR"/>
        </w:rPr>
      </w:pPr>
    </w:p>
    <w:p w14:paraId="5BF4505A" w14:textId="77777777" w:rsidR="0045133A" w:rsidRPr="00DD04A7" w:rsidRDefault="0045133A" w:rsidP="00122E9E">
      <w:pPr>
        <w:rPr>
          <w:lang w:val="hr-HR"/>
        </w:rPr>
      </w:pPr>
    </w:p>
    <w:bookmarkEnd w:id="21"/>
    <w:p w14:paraId="5C8F8770" w14:textId="6576FDC6" w:rsidR="00B631E3" w:rsidRPr="00DD04A7" w:rsidRDefault="00A127A0" w:rsidP="00B631E3">
      <w:pPr>
        <w:pStyle w:val="Heading3"/>
        <w:rPr>
          <w:lang w:val="hr-HR"/>
        </w:rPr>
      </w:pPr>
      <w:r>
        <w:rPr>
          <w:lang w:val="hr-HR"/>
        </w:rPr>
        <w:t>Gospodarske aktivnosto</w:t>
      </w:r>
      <w:r w:rsidR="00B631E3" w:rsidRPr="00DD04A7">
        <w:rPr>
          <w:lang w:val="hr-HR"/>
        </w:rPr>
        <w:t xml:space="preserve"> </w:t>
      </w:r>
    </w:p>
    <w:p w14:paraId="2C236B33" w14:textId="7C70338A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bookmarkStart w:id="22" w:name="_Toc2349146"/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Opišite glavne gospodarske aktivnosti otoka i povežite ih s utjecajem na oto</w:t>
      </w:r>
      <w:r w:rsidR="00A127A0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čke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emisije stakleničkih plinova.</w:t>
      </w:r>
    </w:p>
    <w:p w14:paraId="105F1E8B" w14:textId="77777777" w:rsidR="008704A1" w:rsidRPr="00DD04A7" w:rsidRDefault="008704A1" w:rsidP="00507C4F">
      <w:pPr>
        <w:spacing w:line="240" w:lineRule="auto"/>
        <w:rPr>
          <w:i/>
          <w:color w:val="2F5496" w:themeColor="accent1" w:themeShade="BF"/>
          <w:lang w:val="hr-HR"/>
        </w:rPr>
      </w:pPr>
    </w:p>
    <w:p w14:paraId="10FE504C" w14:textId="77777777" w:rsidR="00DF6863" w:rsidRPr="00DD04A7" w:rsidRDefault="00DF6863" w:rsidP="00122E9E">
      <w:pPr>
        <w:rPr>
          <w:i/>
          <w:color w:val="44546A" w:themeColor="text2"/>
          <w:lang w:val="hr-HR"/>
        </w:rPr>
      </w:pPr>
    </w:p>
    <w:bookmarkEnd w:id="22"/>
    <w:p w14:paraId="41149333" w14:textId="7F0A01FB" w:rsidR="00B631E3" w:rsidRPr="00DD04A7" w:rsidRDefault="00A127A0" w:rsidP="00B631E3">
      <w:pPr>
        <w:pStyle w:val="Heading3"/>
        <w:rPr>
          <w:lang w:val="hr-HR"/>
        </w:rPr>
      </w:pPr>
      <w:r>
        <w:rPr>
          <w:lang w:val="hr-HR"/>
        </w:rPr>
        <w:t>Povezanost s kopnom</w:t>
      </w:r>
    </w:p>
    <w:p w14:paraId="08E12555" w14:textId="776458E6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Opišite odnos otoka prema kopnu, uključujući</w:t>
      </w:r>
      <w:r w:rsidR="00414D26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veze poput trajektnih ruta , mostova ili električnih kabela (iako bi to trebalo dalje razviti u odjeljku Opis energetskog sustava). Također se 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opišite i druge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ovisnosti (npr. 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io općine ili regije na kopnu) .</w:t>
      </w:r>
    </w:p>
    <w:p w14:paraId="2725B4FF" w14:textId="77777777" w:rsidR="007F1C32" w:rsidRPr="00DD04A7" w:rsidRDefault="007F1C32">
      <w:pPr>
        <w:spacing w:line="259" w:lineRule="auto"/>
        <w:jc w:val="left"/>
        <w:rPr>
          <w:lang w:val="hr-HR"/>
        </w:rPr>
      </w:pPr>
      <w:r w:rsidRPr="00DD04A7">
        <w:rPr>
          <w:b/>
          <w:lang w:val="hr-HR"/>
        </w:rPr>
        <w:br w:type="page"/>
      </w:r>
    </w:p>
    <w:p w14:paraId="4304540A" w14:textId="2966AB7E" w:rsidR="00B631E3" w:rsidRPr="00DD04A7" w:rsidRDefault="008C11D3" w:rsidP="00B631E3">
      <w:pPr>
        <w:pStyle w:val="Heading2"/>
        <w:rPr>
          <w:lang w:val="hr-HR"/>
        </w:rPr>
      </w:pPr>
      <w:bookmarkStart w:id="23" w:name="_Toc24015564"/>
      <w:r>
        <w:rPr>
          <w:lang w:val="hr-HR"/>
        </w:rPr>
        <w:lastRenderedPageBreak/>
        <w:t>Opis energetskog sustava</w:t>
      </w:r>
      <w:bookmarkEnd w:id="23"/>
    </w:p>
    <w:p w14:paraId="31424E5D" w14:textId="77777777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Opseg opisa otočkog energetskog sustava ovisi o dostupnoj tehničkoj ekspertizi na otoku. Cjelovita dijagnoza energetskog sustava preporučuje se za svaki od relevantnih vektora energije na otoku, na primjer:</w:t>
      </w:r>
    </w:p>
    <w:p w14:paraId="57C5083F" w14:textId="58BC3692" w:rsidR="008704A1" w:rsidRPr="00DD04A7" w:rsidRDefault="008C11D3" w:rsidP="008704A1">
      <w:pPr>
        <w:numPr>
          <w:ilvl w:val="0"/>
          <w:numId w:val="40"/>
        </w:numPr>
        <w:spacing w:after="0" w:line="240" w:lineRule="auto"/>
        <w:ind w:left="516" w:firstLine="0"/>
        <w:rPr>
          <w:color w:val="2F5496"/>
          <w:szCs w:val="20"/>
          <w:lang w:val="hr-HR"/>
        </w:rPr>
      </w:pPr>
      <w:r>
        <w:rPr>
          <w:i/>
          <w:iCs/>
          <w:color w:val="2F5496"/>
          <w:szCs w:val="20"/>
          <w:lang w:val="hr-HR"/>
        </w:rPr>
        <w:t>E</w:t>
      </w:r>
      <w:r w:rsidR="008704A1" w:rsidRPr="00DD04A7">
        <w:rPr>
          <w:i/>
          <w:iCs/>
          <w:color w:val="2F5496"/>
          <w:szCs w:val="20"/>
          <w:lang w:val="hr-HR"/>
        </w:rPr>
        <w:t>lektri</w:t>
      </w:r>
      <w:r>
        <w:rPr>
          <w:i/>
          <w:iCs/>
          <w:color w:val="2F5496"/>
          <w:szCs w:val="20"/>
          <w:lang w:val="hr-HR"/>
        </w:rPr>
        <w:t>čna energija</w:t>
      </w:r>
    </w:p>
    <w:p w14:paraId="3CDA3726" w14:textId="77777777" w:rsidR="008704A1" w:rsidRPr="00DD04A7" w:rsidRDefault="008704A1" w:rsidP="008704A1">
      <w:pPr>
        <w:numPr>
          <w:ilvl w:val="0"/>
          <w:numId w:val="40"/>
        </w:numPr>
        <w:spacing w:after="0" w:line="240" w:lineRule="auto"/>
        <w:ind w:left="516" w:firstLine="0"/>
        <w:rPr>
          <w:color w:val="2F5496"/>
          <w:szCs w:val="20"/>
          <w:lang w:val="hr-HR"/>
        </w:rPr>
      </w:pPr>
      <w:r w:rsidRPr="00DD04A7">
        <w:rPr>
          <w:i/>
          <w:iCs/>
          <w:color w:val="2F5496"/>
          <w:szCs w:val="20"/>
          <w:lang w:val="hr-HR"/>
        </w:rPr>
        <w:t>Grijanje i hlađenje</w:t>
      </w:r>
    </w:p>
    <w:p w14:paraId="1A82739D" w14:textId="47866BFC" w:rsidR="008704A1" w:rsidRPr="00DD04A7" w:rsidRDefault="008704A1" w:rsidP="008704A1">
      <w:pPr>
        <w:numPr>
          <w:ilvl w:val="0"/>
          <w:numId w:val="40"/>
        </w:numPr>
        <w:spacing w:after="0" w:line="240" w:lineRule="auto"/>
        <w:ind w:left="516" w:firstLine="0"/>
        <w:rPr>
          <w:color w:val="2F5496"/>
          <w:szCs w:val="20"/>
          <w:lang w:val="hr-HR"/>
        </w:rPr>
      </w:pPr>
      <w:r w:rsidRPr="00DD04A7">
        <w:rPr>
          <w:i/>
          <w:iCs/>
          <w:color w:val="2F5496"/>
          <w:szCs w:val="20"/>
          <w:lang w:val="hr-HR"/>
        </w:rPr>
        <w:t>Prijevoz na otok</w:t>
      </w:r>
      <w:r w:rsidR="008C11D3">
        <w:rPr>
          <w:i/>
          <w:iCs/>
          <w:color w:val="2F5496"/>
          <w:szCs w:val="20"/>
          <w:lang w:val="hr-HR"/>
        </w:rPr>
        <w:t>u</w:t>
      </w:r>
    </w:p>
    <w:p w14:paraId="199A1A77" w14:textId="77777777" w:rsidR="008704A1" w:rsidRPr="00DD04A7" w:rsidRDefault="008704A1" w:rsidP="008704A1">
      <w:pPr>
        <w:numPr>
          <w:ilvl w:val="0"/>
          <w:numId w:val="40"/>
        </w:numPr>
        <w:spacing w:line="240" w:lineRule="auto"/>
        <w:ind w:left="516" w:firstLine="0"/>
        <w:rPr>
          <w:color w:val="2F5496"/>
          <w:szCs w:val="20"/>
          <w:lang w:val="hr-HR"/>
        </w:rPr>
      </w:pPr>
      <w:r w:rsidRPr="00DD04A7">
        <w:rPr>
          <w:i/>
          <w:iCs/>
          <w:color w:val="2F5496"/>
          <w:szCs w:val="20"/>
          <w:lang w:val="hr-HR"/>
        </w:rPr>
        <w:t>Prijevoz do i s otoka</w:t>
      </w:r>
    </w:p>
    <w:p w14:paraId="47F60532" w14:textId="3D2967E6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Točn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, nedavno i detaljne informacije o potrošnji energije te o izvorima emisije stakleničkih plinova omogućuju  razvi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tak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 relevant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nog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plan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i promovira na učinkovitoj raspodjeli resursa. Iako 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Tajništvo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potiče otoke da izvrše energetsku analizu što 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detaljnije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, nedostatak podataka o određenom vektoru ne bi trebao predstavljati ograničenje za razvoj 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Plana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tranzicije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ka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čist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oj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energij</w:t>
      </w:r>
      <w:r w:rsidR="008C11D3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i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. Cilj ovog odjeljka je dati sažetak vektora koji dominiraju potrošnjom energije na otoku i stvaraju najveću emisiju CO2. Ako nema službenih podataka, potrošnja energije i emisije mogu se procijeniti na temelju određenih pretpostavki.</w:t>
      </w:r>
    </w:p>
    <w:p w14:paraId="44323152" w14:textId="45E7FE51" w:rsidR="008704A1" w:rsidRPr="00DD04A7" w:rsidRDefault="008704A1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Više informacija o tome kako razviti opis energetskog sustava </w:t>
      </w:r>
      <w:r w:rsidR="004F3D76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toka (uključujući način prikupljanja podataka ili kako ga procijeniti u slučaju da nisu dostupni) može se naći u priručniku Oto</w:t>
      </w:r>
      <w:r w:rsidR="004F3D76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čni tranzicijski priručnik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, Poglavlje 3 'Razumijevanje otočke dinamike' , Odjeljak: 'Opis energetskog sustava'.</w:t>
      </w:r>
    </w:p>
    <w:p w14:paraId="549AEEAE" w14:textId="701450AD" w:rsidR="008704A1" w:rsidRDefault="008704A1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Otoci koji su razvili osnovni popis emisija mogu umetnuti sažetak rezultata u svoj Program tranzicije čiste energije. Za upute o izradi baznog popisa emisija, otoci se pozivaju na </w:t>
      </w:r>
      <w:hyperlink r:id="rId18" w:history="1">
        <w:r w:rsidRPr="00DD04A7">
          <w:rPr>
            <w:rStyle w:val="Hyperlink"/>
            <w:rFonts w:ascii="Century Gothic" w:hAnsi="Century Gothic"/>
            <w:i/>
            <w:iCs/>
            <w:color w:val="0563C1"/>
            <w:sz w:val="20"/>
            <w:szCs w:val="20"/>
            <w:lang w:val="hr-HR"/>
          </w:rPr>
          <w:t>referentni materijal koji je razvio Savez gradonačelnika </w:t>
        </w:r>
      </w:hyperlink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[1]. Molim vas, nemojte zaboraviti da potpuni osnovni popis emisija nije minimalni zahtjev za ispunjenje Agende o prijelazu čiste energije.</w:t>
      </w:r>
    </w:p>
    <w:p w14:paraId="5667E239" w14:textId="6A5E9BC4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4A8AA018" w14:textId="77777777" w:rsidR="004F3D76" w:rsidRPr="00DD04A7" w:rsidRDefault="004F3D76" w:rsidP="008704A1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</w:p>
    <w:p w14:paraId="1E708FA0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1EDDAEA8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5091D4C8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706CCECF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4DFCF482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499379B4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4C2CA60E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49657BE7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5B7450C8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33CF61B4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0904BC79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5F307F7B" w14:textId="77777777" w:rsidR="004F3D76" w:rsidRDefault="004F3D76" w:rsidP="008704A1">
      <w:pPr>
        <w:pStyle w:val="NormalWeb"/>
        <w:spacing w:before="0" w:beforeAutospacing="0" w:after="160"/>
        <w:jc w:val="both"/>
        <w:rPr>
          <w:rFonts w:ascii="Century Gothic" w:hAnsi="Century Gothic"/>
          <w:i/>
          <w:iCs/>
          <w:color w:val="2F5496"/>
          <w:sz w:val="20"/>
          <w:szCs w:val="20"/>
          <w:lang w:val="hr-HR"/>
        </w:rPr>
      </w:pPr>
    </w:p>
    <w:p w14:paraId="7D094DFA" w14:textId="62976C45" w:rsidR="004646D0" w:rsidRPr="004F3D76" w:rsidRDefault="008704A1" w:rsidP="004F3D76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Prikupljeni podaci o svim vektorima energije mogu se sažeti slijedeći tablice 1 i 2 (dolje) . Odjeljak Opis energetskog sustava nije ograničen na podatke: trebao bi sadržavati i tekst koji opisuje kako se energija proizvodi i troši na otoku kako bi se dobila cjelovita slika otočkih energetskih sustava.</w:t>
      </w:r>
      <w:r w:rsidR="004646D0" w:rsidRPr="00DD04A7">
        <w:rPr>
          <w:b/>
          <w:i/>
          <w:color w:val="2F5496" w:themeColor="accent1" w:themeShade="BF"/>
          <w:szCs w:val="20"/>
          <w:lang w:val="hr-HR"/>
        </w:rPr>
        <w:br w:type="page"/>
      </w:r>
    </w:p>
    <w:p w14:paraId="74CF238B" w14:textId="77777777" w:rsidR="004646D0" w:rsidRPr="00DD04A7" w:rsidRDefault="004646D0" w:rsidP="00297FA0">
      <w:pPr>
        <w:spacing w:line="240" w:lineRule="auto"/>
        <w:rPr>
          <w:b/>
          <w:i/>
          <w:color w:val="2F5496" w:themeColor="accent1" w:themeShade="BF"/>
          <w:szCs w:val="20"/>
          <w:lang w:val="hr-HR"/>
        </w:rPr>
      </w:pPr>
    </w:p>
    <w:p w14:paraId="1222BB60" w14:textId="77777777" w:rsidR="000D00FD" w:rsidRPr="00DD04A7" w:rsidRDefault="000D00FD" w:rsidP="000D00FD">
      <w:pPr>
        <w:pStyle w:val="NormalWeb"/>
        <w:spacing w:before="0" w:beforeAutospacing="0" w:after="20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color w:val="000000"/>
          <w:sz w:val="18"/>
          <w:szCs w:val="18"/>
          <w:lang w:val="hr-HR"/>
        </w:rPr>
        <w:t>Tablica 1 Primjer tablice za sažetak konačne potrošnje energije na otoku. Preporučuje se uključivanje podataka što je detaljnije moguće po vektoru. Međutim, ako nije dostupan, tablica se može prilagoditi podacima o otoku koji su dostupni.</w:t>
      </w:r>
    </w:p>
    <w:p w14:paraId="0D8E2A7E" w14:textId="77777777" w:rsidR="008704A1" w:rsidRPr="00DD04A7" w:rsidRDefault="008704A1" w:rsidP="000D0BB0">
      <w:pPr>
        <w:pStyle w:val="Caption1"/>
        <w:rPr>
          <w:lang w:val="hr-HR"/>
        </w:rPr>
      </w:pPr>
    </w:p>
    <w:tbl>
      <w:tblPr>
        <w:tblW w:w="8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139"/>
        <w:gridCol w:w="1417"/>
        <w:gridCol w:w="2410"/>
      </w:tblGrid>
      <w:tr w:rsidR="0045133A" w:rsidRPr="00DD04A7" w14:paraId="1F006569" w14:textId="77777777" w:rsidTr="00FF7B5E">
        <w:tc>
          <w:tcPr>
            <w:tcW w:w="3823" w:type="dxa"/>
            <w:tcBorders>
              <w:bottom w:val="single" w:sz="4" w:space="0" w:color="000000"/>
            </w:tcBorders>
          </w:tcPr>
          <w:p w14:paraId="4652BB6F" w14:textId="74DA1507" w:rsidR="0045133A" w:rsidRPr="00DD04A7" w:rsidRDefault="004F3D76" w:rsidP="0045133A">
            <w:pPr>
              <w:spacing w:after="120"/>
              <w:rPr>
                <w:b/>
                <w:lang w:val="hr-HR"/>
              </w:rPr>
            </w:pPr>
            <w:r>
              <w:rPr>
                <w:b/>
                <w:highlight w:val="green"/>
                <w:lang w:val="hr-HR"/>
              </w:rPr>
              <w:t>Podatci za godinu</w:t>
            </w:r>
            <w:r w:rsidR="00B23E66" w:rsidRPr="00DD04A7">
              <w:rPr>
                <w:b/>
                <w:highlight w:val="green"/>
                <w:lang w:val="hr-HR"/>
              </w:rPr>
              <w:t xml:space="preserve"> 201X</w:t>
            </w:r>
          </w:p>
        </w:tc>
        <w:tc>
          <w:tcPr>
            <w:tcW w:w="2556" w:type="dxa"/>
            <w:gridSpan w:val="2"/>
            <w:tcBorders>
              <w:bottom w:val="single" w:sz="4" w:space="0" w:color="000000"/>
            </w:tcBorders>
          </w:tcPr>
          <w:p w14:paraId="6EED7294" w14:textId="0702F55A" w:rsidR="0045133A" w:rsidRPr="00DD04A7" w:rsidRDefault="004F3D76" w:rsidP="006A493B">
            <w:pPr>
              <w:spacing w:after="0"/>
              <w:jc w:val="right"/>
              <w:rPr>
                <w:lang w:val="hr-HR"/>
              </w:rPr>
            </w:pPr>
            <w:r>
              <w:rPr>
                <w:lang w:val="hr-HR"/>
              </w:rPr>
              <w:t>Energetska potrošnja</w:t>
            </w:r>
            <w:r w:rsidR="0045133A" w:rsidRPr="00DD04A7">
              <w:rPr>
                <w:lang w:val="hr-HR"/>
              </w:rPr>
              <w:t xml:space="preserve"> </w:t>
            </w:r>
          </w:p>
          <w:p w14:paraId="26518F21" w14:textId="77777777" w:rsidR="0045133A" w:rsidRPr="00DD04A7" w:rsidRDefault="0045133A" w:rsidP="0045133A">
            <w:pPr>
              <w:spacing w:after="120"/>
              <w:ind w:firstLine="464"/>
              <w:jc w:val="right"/>
              <w:rPr>
                <w:lang w:val="hr-HR"/>
              </w:rPr>
            </w:pPr>
            <w:r w:rsidRPr="00DD04A7">
              <w:rPr>
                <w:lang w:val="hr-HR"/>
              </w:rPr>
              <w:t>[MWh]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2F5D75C" w14:textId="61B6B7A0" w:rsidR="006A493B" w:rsidRPr="00DD04A7" w:rsidRDefault="0045133A" w:rsidP="006A493B">
            <w:pPr>
              <w:spacing w:after="0"/>
              <w:jc w:val="right"/>
              <w:rPr>
                <w:lang w:val="hr-HR"/>
              </w:rPr>
            </w:pPr>
            <w:r w:rsidRPr="00DD04A7">
              <w:rPr>
                <w:lang w:val="hr-HR"/>
              </w:rPr>
              <w:t>CO</w:t>
            </w:r>
            <w:r w:rsidRPr="00DD04A7">
              <w:rPr>
                <w:vertAlign w:val="subscript"/>
                <w:lang w:val="hr-HR"/>
              </w:rPr>
              <w:t>2</w:t>
            </w:r>
            <w:r w:rsidRPr="00DD04A7">
              <w:rPr>
                <w:lang w:val="hr-HR"/>
              </w:rPr>
              <w:t xml:space="preserve"> emis</w:t>
            </w:r>
            <w:r w:rsidR="004F3D76">
              <w:rPr>
                <w:lang w:val="hr-HR"/>
              </w:rPr>
              <w:t>ije</w:t>
            </w:r>
          </w:p>
          <w:p w14:paraId="0CE6F804" w14:textId="77777777" w:rsidR="006A493B" w:rsidRPr="00DD04A7" w:rsidRDefault="006A493B" w:rsidP="006A493B">
            <w:pPr>
              <w:spacing w:after="0"/>
              <w:jc w:val="right"/>
              <w:rPr>
                <w:lang w:val="hr-HR"/>
              </w:rPr>
            </w:pPr>
          </w:p>
          <w:p w14:paraId="0EAD075E" w14:textId="2FA2588F" w:rsidR="0045133A" w:rsidRPr="00DD04A7" w:rsidRDefault="0045133A" w:rsidP="006A493B">
            <w:pPr>
              <w:spacing w:after="120"/>
              <w:jc w:val="right"/>
              <w:rPr>
                <w:lang w:val="hr-HR"/>
              </w:rPr>
            </w:pPr>
            <w:r w:rsidRPr="00DD04A7">
              <w:rPr>
                <w:lang w:val="hr-HR"/>
              </w:rPr>
              <w:t>[ton</w:t>
            </w:r>
            <w:r w:rsidR="004250FC">
              <w:rPr>
                <w:lang w:val="hr-HR"/>
              </w:rPr>
              <w:t>a</w:t>
            </w:r>
            <w:r w:rsidRPr="00DD04A7">
              <w:rPr>
                <w:lang w:val="hr-HR"/>
              </w:rPr>
              <w:t>]</w:t>
            </w:r>
          </w:p>
        </w:tc>
      </w:tr>
      <w:tr w:rsidR="00994FCB" w:rsidRPr="00DD04A7" w14:paraId="299A17FE" w14:textId="77777777" w:rsidTr="00FF7B5E">
        <w:trPr>
          <w:trHeight w:hRule="exact" w:val="397"/>
        </w:trPr>
        <w:tc>
          <w:tcPr>
            <w:tcW w:w="3823" w:type="dxa"/>
            <w:tcBorders>
              <w:top w:val="single" w:sz="4" w:space="0" w:color="000000"/>
              <w:bottom w:val="nil"/>
            </w:tcBorders>
            <w:vAlign w:val="center"/>
          </w:tcPr>
          <w:p w14:paraId="6C8AFEF7" w14:textId="511A7490" w:rsidR="00994FCB" w:rsidRPr="00DD04A7" w:rsidRDefault="004F3D76" w:rsidP="0023250B">
            <w:pPr>
              <w:spacing w:after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Potrošnja električne energije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2B643016" w14:textId="77777777" w:rsidR="00994FCB" w:rsidRPr="00DD04A7" w:rsidRDefault="00994FCB" w:rsidP="0023250B">
            <w:pPr>
              <w:spacing w:after="0"/>
              <w:jc w:val="right"/>
              <w:rPr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3D957444" w14:textId="77777777" w:rsidR="00994FCB" w:rsidRPr="00DD04A7" w:rsidRDefault="00994FCB" w:rsidP="0023250B">
            <w:pPr>
              <w:spacing w:after="0"/>
              <w:jc w:val="right"/>
              <w:rPr>
                <w:lang w:val="hr-HR"/>
              </w:rPr>
            </w:pPr>
          </w:p>
        </w:tc>
      </w:tr>
      <w:tr w:rsidR="00994FCB" w:rsidRPr="00DD04A7" w14:paraId="73B1011C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17972319" w14:textId="246B8908" w:rsidR="00994FCB" w:rsidRPr="00DD04A7" w:rsidRDefault="004F3D76" w:rsidP="0023250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Stambeni dio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1C2A35EC" w14:textId="0792A4B5" w:rsidR="00994FCB" w:rsidRPr="00DD04A7" w:rsidRDefault="006A493B" w:rsidP="0023250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636F49" w14:textId="7A9A5FE0" w:rsidR="00994FCB" w:rsidRPr="00DD04A7" w:rsidRDefault="006A493B" w:rsidP="0023250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7BA68A95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688474D9" w14:textId="5863F10F" w:rsidR="006A493B" w:rsidRPr="00DD04A7" w:rsidRDefault="006A493B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 w:rsidRPr="00DD04A7">
              <w:rPr>
                <w:color w:val="7F7F7F" w:themeColor="text1" w:themeTint="80"/>
                <w:lang w:val="hr-HR"/>
              </w:rPr>
              <w:t>Pri</w:t>
            </w:r>
            <w:r w:rsidR="004F3D76">
              <w:rPr>
                <w:color w:val="7F7F7F" w:themeColor="text1" w:themeTint="80"/>
                <w:lang w:val="hr-HR"/>
              </w:rPr>
              <w:t>marni sektor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3C839567" w14:textId="14349C39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0771D4" w14:textId="31883E1A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7103056F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3F1F7BA7" w14:textId="1B9B930B" w:rsidR="006A493B" w:rsidRPr="00DD04A7" w:rsidRDefault="006A493B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 w:rsidRPr="00DD04A7">
              <w:rPr>
                <w:color w:val="7F7F7F" w:themeColor="text1" w:themeTint="80"/>
                <w:lang w:val="hr-HR"/>
              </w:rPr>
              <w:t>Industr</w:t>
            </w:r>
            <w:r w:rsidR="004F3D76">
              <w:rPr>
                <w:color w:val="7F7F7F" w:themeColor="text1" w:themeTint="80"/>
                <w:lang w:val="hr-HR"/>
              </w:rPr>
              <w:t>ija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35D78385" w14:textId="2CD91904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DD5498" w14:textId="11C5C4A1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4C0B933A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single" w:sz="4" w:space="0" w:color="000000"/>
            </w:tcBorders>
          </w:tcPr>
          <w:p w14:paraId="1BF478B3" w14:textId="1776E34E" w:rsidR="006A493B" w:rsidRPr="00DD04A7" w:rsidRDefault="006A493B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 w:rsidRPr="00DD04A7">
              <w:rPr>
                <w:color w:val="7F7F7F" w:themeColor="text1" w:themeTint="80"/>
                <w:lang w:val="hr-HR"/>
              </w:rPr>
              <w:t>Ter</w:t>
            </w:r>
            <w:r w:rsidR="004F3D76">
              <w:rPr>
                <w:color w:val="7F7F7F" w:themeColor="text1" w:themeTint="80"/>
                <w:lang w:val="hr-HR"/>
              </w:rPr>
              <w:t>cijarni</w:t>
            </w:r>
            <w:r w:rsidRPr="00DD04A7">
              <w:rPr>
                <w:color w:val="7F7F7F" w:themeColor="text1" w:themeTint="80"/>
                <w:lang w:val="hr-HR"/>
              </w:rPr>
              <w:t xml:space="preserve"> se</w:t>
            </w:r>
            <w:r w:rsidR="004F3D76">
              <w:rPr>
                <w:color w:val="7F7F7F" w:themeColor="text1" w:themeTint="80"/>
                <w:lang w:val="hr-HR"/>
              </w:rPr>
              <w:t>k</w:t>
            </w:r>
            <w:r w:rsidRPr="00DD04A7">
              <w:rPr>
                <w:color w:val="7F7F7F" w:themeColor="text1" w:themeTint="80"/>
                <w:lang w:val="hr-HR"/>
              </w:rPr>
              <w:t>tor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000000"/>
            </w:tcBorders>
          </w:tcPr>
          <w:p w14:paraId="0CC72ACB" w14:textId="01A3A9D1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4FC17753" w14:textId="397E27AD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313B8927" w14:textId="77777777" w:rsidTr="00FF7B5E">
        <w:trPr>
          <w:trHeight w:hRule="exact" w:val="397"/>
        </w:trPr>
        <w:tc>
          <w:tcPr>
            <w:tcW w:w="3823" w:type="dxa"/>
            <w:tcBorders>
              <w:top w:val="single" w:sz="4" w:space="0" w:color="000000"/>
              <w:bottom w:val="nil"/>
            </w:tcBorders>
            <w:vAlign w:val="center"/>
          </w:tcPr>
          <w:p w14:paraId="27041A5D" w14:textId="48ED6C51" w:rsidR="006A493B" w:rsidRPr="00DD04A7" w:rsidRDefault="006A493B" w:rsidP="0023250B">
            <w:pPr>
              <w:spacing w:after="0"/>
              <w:rPr>
                <w:b/>
                <w:lang w:val="hr-HR"/>
              </w:rPr>
            </w:pPr>
            <w:r w:rsidRPr="00DD04A7">
              <w:rPr>
                <w:b/>
                <w:lang w:val="hr-HR"/>
              </w:rPr>
              <w:t xml:space="preserve">Transport </w:t>
            </w:r>
            <w:r w:rsidR="004F3D76">
              <w:rPr>
                <w:b/>
                <w:lang w:val="hr-HR"/>
              </w:rPr>
              <w:t>na otoku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3743661" w14:textId="77777777" w:rsidR="006A493B" w:rsidRPr="00DD04A7" w:rsidRDefault="006A493B" w:rsidP="0023250B">
            <w:pPr>
              <w:spacing w:after="0"/>
              <w:jc w:val="right"/>
              <w:rPr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7C5703D9" w14:textId="77777777" w:rsidR="006A493B" w:rsidRPr="00DD04A7" w:rsidRDefault="006A493B" w:rsidP="0023250B">
            <w:pPr>
              <w:spacing w:after="0"/>
              <w:jc w:val="right"/>
              <w:rPr>
                <w:i/>
                <w:lang w:val="hr-HR"/>
              </w:rPr>
            </w:pPr>
          </w:p>
        </w:tc>
      </w:tr>
      <w:tr w:rsidR="006A493B" w:rsidRPr="00DD04A7" w14:paraId="285EA043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5409779B" w14:textId="30F50F48" w:rsidR="006A493B" w:rsidRPr="00DD04A7" w:rsidRDefault="004F3D76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Automobili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0A3E585E" w14:textId="72BC2424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D0C693" w14:textId="047DCBFE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55EDF5F4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51370048" w14:textId="7F209BCF" w:rsidR="006A493B" w:rsidRPr="00DD04A7" w:rsidRDefault="004F3D76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Kombiji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4612B11C" w14:textId="60B12B9A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2148AD" w14:textId="1A22E27A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338E972E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25017B11" w14:textId="4B1478D9" w:rsidR="006A493B" w:rsidRPr="00DD04A7" w:rsidRDefault="006A493B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 w:rsidRPr="00DD04A7">
              <w:rPr>
                <w:color w:val="7F7F7F" w:themeColor="text1" w:themeTint="80"/>
                <w:lang w:val="hr-HR"/>
              </w:rPr>
              <w:t>Moto</w:t>
            </w:r>
            <w:r w:rsidR="004F3D76">
              <w:rPr>
                <w:color w:val="7F7F7F" w:themeColor="text1" w:themeTint="80"/>
                <w:lang w:val="hr-HR"/>
              </w:rPr>
              <w:t>cikli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44DB0475" w14:textId="04DAF19B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146C8B5" w14:textId="0DCD331F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7D535A97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0E4D4E62" w14:textId="3847A25E" w:rsidR="006A493B" w:rsidRPr="00DD04A7" w:rsidRDefault="004F3D76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Autobus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46C4B9C0" w14:textId="632ADFC6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16E4C7" w14:textId="2F530BF8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407581E3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single" w:sz="4" w:space="0" w:color="000000"/>
            </w:tcBorders>
          </w:tcPr>
          <w:p w14:paraId="004A87DF" w14:textId="35358792" w:rsidR="006A493B" w:rsidRPr="00DD04A7" w:rsidRDefault="004F3D76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Ostalo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000000"/>
            </w:tcBorders>
          </w:tcPr>
          <w:p w14:paraId="464B266A" w14:textId="7A428AFA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4C0D9763" w14:textId="65DA8730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335A780E" w14:textId="77777777" w:rsidTr="00FF7B5E">
        <w:trPr>
          <w:trHeight w:hRule="exact" w:val="397"/>
        </w:trPr>
        <w:tc>
          <w:tcPr>
            <w:tcW w:w="3823" w:type="dxa"/>
            <w:tcBorders>
              <w:top w:val="single" w:sz="4" w:space="0" w:color="000000"/>
              <w:bottom w:val="nil"/>
            </w:tcBorders>
            <w:vAlign w:val="center"/>
          </w:tcPr>
          <w:p w14:paraId="0F01D1A8" w14:textId="77777777" w:rsidR="006A493B" w:rsidRPr="00DD04A7" w:rsidRDefault="006A493B" w:rsidP="006A493B">
            <w:pPr>
              <w:spacing w:after="0"/>
              <w:rPr>
                <w:b/>
                <w:lang w:val="hr-HR"/>
              </w:rPr>
            </w:pPr>
            <w:r w:rsidRPr="00DD04A7">
              <w:rPr>
                <w:b/>
                <w:lang w:val="hr-HR"/>
              </w:rPr>
              <w:t>Transport to and from the island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53D4CD6E" w14:textId="77777777" w:rsidR="006A493B" w:rsidRPr="00DD04A7" w:rsidRDefault="006A493B" w:rsidP="006A493B">
            <w:pPr>
              <w:spacing w:after="0"/>
              <w:jc w:val="right"/>
              <w:rPr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25D9E608" w14:textId="77777777" w:rsidR="006A493B" w:rsidRPr="00DD04A7" w:rsidRDefault="006A493B" w:rsidP="006A493B">
            <w:pPr>
              <w:spacing w:after="0"/>
              <w:jc w:val="right"/>
              <w:rPr>
                <w:i/>
                <w:lang w:val="hr-HR"/>
              </w:rPr>
            </w:pPr>
          </w:p>
        </w:tc>
      </w:tr>
      <w:tr w:rsidR="006A493B" w:rsidRPr="00DD04A7" w14:paraId="2409F9CA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30BC7EF0" w14:textId="24E6DFA9" w:rsidR="006A493B" w:rsidRPr="00DD04A7" w:rsidRDefault="004F3D76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Pomorski</w:t>
            </w:r>
            <w:r w:rsidR="006A493B" w:rsidRPr="00DD04A7">
              <w:rPr>
                <w:color w:val="7F7F7F" w:themeColor="text1" w:themeTint="80"/>
                <w:lang w:val="hr-HR"/>
              </w:rPr>
              <w:t xml:space="preserve"> transport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4A5E8C76" w14:textId="4C00E1DE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3F6B74" w14:textId="060DD17B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09FAA228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2DC07A26" w14:textId="6E2A8965" w:rsidR="006A493B" w:rsidRPr="00DD04A7" w:rsidRDefault="004F3D76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Zračni transport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4C1ACD62" w14:textId="789CDDAA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B4610AD" w14:textId="140F6222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436BC14C" w14:textId="77777777" w:rsidTr="00FF7B5E">
        <w:trPr>
          <w:trHeight w:hRule="exact" w:val="397"/>
        </w:trPr>
        <w:tc>
          <w:tcPr>
            <w:tcW w:w="3823" w:type="dxa"/>
            <w:tcBorders>
              <w:top w:val="single" w:sz="4" w:space="0" w:color="000000"/>
              <w:bottom w:val="nil"/>
            </w:tcBorders>
            <w:vAlign w:val="center"/>
          </w:tcPr>
          <w:p w14:paraId="04370D66" w14:textId="49AF1DAB" w:rsidR="006A493B" w:rsidRPr="00DD04A7" w:rsidRDefault="007B5783" w:rsidP="006A493B">
            <w:pPr>
              <w:spacing w:after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Grijanje i hlađenje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4F09B934" w14:textId="77777777" w:rsidR="006A493B" w:rsidRPr="00DD04A7" w:rsidRDefault="006A493B" w:rsidP="006A493B">
            <w:pPr>
              <w:spacing w:after="0"/>
              <w:jc w:val="right"/>
              <w:rPr>
                <w:i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14:paraId="4312CDBE" w14:textId="77777777" w:rsidR="006A493B" w:rsidRPr="00DD04A7" w:rsidRDefault="006A493B" w:rsidP="006A493B">
            <w:pPr>
              <w:spacing w:after="0"/>
              <w:jc w:val="right"/>
              <w:rPr>
                <w:i/>
                <w:lang w:val="hr-HR"/>
              </w:rPr>
            </w:pPr>
          </w:p>
        </w:tc>
      </w:tr>
      <w:tr w:rsidR="006A493B" w:rsidRPr="00DD04A7" w14:paraId="1F236E22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53AFAF86" w14:textId="08ECF2DC" w:rsidR="006A493B" w:rsidRPr="00DD04A7" w:rsidRDefault="007B5783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Plinski kotlovi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15ED83B2" w14:textId="2F3D4F97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E1F93D" w14:textId="033B9E44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69178D6F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nil"/>
            </w:tcBorders>
          </w:tcPr>
          <w:p w14:paraId="4340CA7E" w14:textId="12E6C688" w:rsidR="006A493B" w:rsidRPr="00DD04A7" w:rsidRDefault="007B5783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Drvo i</w:t>
            </w:r>
            <w:r w:rsidR="006A493B" w:rsidRPr="00DD04A7">
              <w:rPr>
                <w:color w:val="7F7F7F" w:themeColor="text1" w:themeTint="80"/>
                <w:lang w:val="hr-HR"/>
              </w:rPr>
              <w:t xml:space="preserve"> pelet</w:t>
            </w:r>
            <w:r>
              <w:rPr>
                <w:color w:val="7F7F7F" w:themeColor="text1" w:themeTint="80"/>
                <w:lang w:val="hr-HR"/>
              </w:rPr>
              <w:t>i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14:paraId="27A5173F" w14:textId="498BE30C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798CB4" w14:textId="7DADC840" w:rsidR="006A493B" w:rsidRPr="00DD04A7" w:rsidRDefault="006A493B" w:rsidP="006A493B">
            <w:pPr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6A493B" w:rsidRPr="00DD04A7" w14:paraId="27719A74" w14:textId="77777777" w:rsidTr="00FF7B5E">
        <w:trPr>
          <w:trHeight w:hRule="exact" w:val="284"/>
        </w:trPr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4987424" w14:textId="3420AEF2" w:rsidR="006A493B" w:rsidRPr="00DD04A7" w:rsidRDefault="007B5783" w:rsidP="006A493B">
            <w:pPr>
              <w:spacing w:after="120"/>
              <w:ind w:left="741"/>
              <w:rPr>
                <w:color w:val="7F7F7F" w:themeColor="text1" w:themeTint="80"/>
                <w:lang w:val="hr-HR"/>
              </w:rPr>
            </w:pPr>
            <w:r>
              <w:rPr>
                <w:color w:val="7F7F7F" w:themeColor="text1" w:themeTint="80"/>
                <w:lang w:val="hr-HR"/>
              </w:rPr>
              <w:t>ostalo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auto"/>
            </w:tcBorders>
          </w:tcPr>
          <w:p w14:paraId="27AC659E" w14:textId="0EE82C93" w:rsidR="006A493B" w:rsidRPr="00DD04A7" w:rsidRDefault="006A493B" w:rsidP="006A493B">
            <w:pPr>
              <w:spacing w:after="120"/>
              <w:ind w:left="741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BC31E64" w14:textId="7C02B779" w:rsidR="006A493B" w:rsidRPr="00DD04A7" w:rsidRDefault="006A493B" w:rsidP="006A493B">
            <w:pPr>
              <w:spacing w:after="120"/>
              <w:ind w:left="741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  <w:tr w:rsidR="00D0183F" w:rsidRPr="00DD04A7" w14:paraId="2157B72C" w14:textId="77777777" w:rsidTr="00FF7B5E">
        <w:trPr>
          <w:trHeight w:hRule="exact" w:val="39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A367" w14:textId="70ADF51C" w:rsidR="00D0183F" w:rsidRPr="00DD04A7" w:rsidRDefault="007B5783" w:rsidP="00FF7B5E">
            <w:pPr>
              <w:spacing w:after="0"/>
              <w:ind w:left="741"/>
              <w:jc w:val="right"/>
              <w:rPr>
                <w:b/>
                <w:color w:val="7F7F7F" w:themeColor="text1" w:themeTint="80"/>
                <w:lang w:val="hr-HR"/>
              </w:rPr>
            </w:pPr>
            <w:r>
              <w:rPr>
                <w:b/>
                <w:lang w:val="hr-HR"/>
              </w:rPr>
              <w:t>UKUPNO</w:t>
            </w:r>
            <w:r w:rsidR="00FD1354" w:rsidRPr="00DD04A7">
              <w:rPr>
                <w:b/>
                <w:lang w:val="hr-H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98AE6" w14:textId="7206D304" w:rsidR="00D0183F" w:rsidRPr="00DD04A7" w:rsidRDefault="00FF7B5E" w:rsidP="00FF7B5E">
            <w:pPr>
              <w:spacing w:after="0"/>
              <w:ind w:left="741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1111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6349" w14:textId="1753A09A" w:rsidR="00D0183F" w:rsidRPr="00DD04A7" w:rsidRDefault="00FF7B5E" w:rsidP="00FF7B5E">
            <w:pPr>
              <w:spacing w:after="0"/>
              <w:ind w:left="741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9999</w:t>
            </w:r>
          </w:p>
        </w:tc>
      </w:tr>
    </w:tbl>
    <w:p w14:paraId="6A1C1BEA" w14:textId="77777777" w:rsidR="003E48F4" w:rsidRPr="00DD04A7" w:rsidRDefault="003E48F4" w:rsidP="00B631E3">
      <w:pPr>
        <w:rPr>
          <w:lang w:val="hr-HR"/>
        </w:rPr>
      </w:pPr>
    </w:p>
    <w:p w14:paraId="3E76E2E1" w14:textId="1A7D9C43" w:rsidR="006A493B" w:rsidRPr="00DD04A7" w:rsidRDefault="007B5783" w:rsidP="006A493B">
      <w:pPr>
        <w:pStyle w:val="Caption"/>
        <w:keepNext/>
        <w:rPr>
          <w:lang w:val="hr-HR"/>
        </w:rPr>
      </w:pPr>
      <w:r w:rsidRPr="00DD04A7">
        <w:rPr>
          <w:color w:val="000000"/>
          <w:lang w:val="hr-HR"/>
        </w:rPr>
        <w:t>Tablica 2. Primjer tablice koja uključuje </w:t>
      </w:r>
      <w:r>
        <w:rPr>
          <w:color w:val="000000"/>
          <w:lang w:val="hr-HR"/>
        </w:rPr>
        <w:t xml:space="preserve">podatke </w:t>
      </w:r>
      <w:r w:rsidRPr="00DD04A7">
        <w:rPr>
          <w:color w:val="000000"/>
          <w:lang w:val="hr-HR"/>
        </w:rPr>
        <w:t>za otoke na kojima se električna energija proizvodi na licu mjesta . Za proizvodnju fosil</w:t>
      </w:r>
      <w:r>
        <w:rPr>
          <w:color w:val="000000"/>
          <w:lang w:val="hr-HR"/>
        </w:rPr>
        <w:t>nog energenta</w:t>
      </w:r>
      <w:r w:rsidRPr="00DD04A7">
        <w:rPr>
          <w:color w:val="000000"/>
          <w:lang w:val="hr-HR"/>
        </w:rPr>
        <w:t xml:space="preserve"> ovdje treba navesti primarnu potrošnju energije. Obnovljivi izvori energije ne troše primarnu energiju u procesu proizvodnje električne energije; stoga te </w:t>
      </w:r>
      <w:r>
        <w:rPr>
          <w:color w:val="000000"/>
          <w:lang w:val="hr-HR"/>
        </w:rPr>
        <w:t>dijelove tablice</w:t>
      </w:r>
      <w:r w:rsidRPr="00DD04A7">
        <w:rPr>
          <w:color w:val="000000"/>
          <w:lang w:val="hr-HR"/>
        </w:rPr>
        <w:t xml:space="preserve"> treba ostaviti praznim.</w:t>
      </w: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1710"/>
        <w:gridCol w:w="2213"/>
        <w:gridCol w:w="1887"/>
      </w:tblGrid>
      <w:tr w:rsidR="0045133A" w:rsidRPr="00DD04A7" w14:paraId="456AADD8" w14:textId="77777777" w:rsidTr="006A493B">
        <w:tc>
          <w:tcPr>
            <w:tcW w:w="3262" w:type="dxa"/>
            <w:tcBorders>
              <w:bottom w:val="single" w:sz="4" w:space="0" w:color="000000"/>
            </w:tcBorders>
          </w:tcPr>
          <w:p w14:paraId="70DB0C66" w14:textId="5DB73CA2" w:rsidR="0045133A" w:rsidRPr="00DD04A7" w:rsidRDefault="007B5783" w:rsidP="0045133A">
            <w:pPr>
              <w:spacing w:after="120"/>
              <w:rPr>
                <w:b/>
                <w:lang w:val="hr-HR"/>
              </w:rPr>
            </w:pPr>
            <w:r>
              <w:rPr>
                <w:b/>
                <w:highlight w:val="green"/>
                <w:lang w:val="hr-HR"/>
              </w:rPr>
              <w:t>Podatci za godinu</w:t>
            </w:r>
            <w:r w:rsidR="00C64DBE" w:rsidRPr="00DD04A7">
              <w:rPr>
                <w:b/>
                <w:highlight w:val="green"/>
                <w:lang w:val="hr-HR"/>
              </w:rPr>
              <w:t xml:space="preserve"> 201X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1E77A4A9" w14:textId="4D6146DA" w:rsidR="0045133A" w:rsidRPr="00DD04A7" w:rsidRDefault="007B5783" w:rsidP="00DF6863">
            <w:pPr>
              <w:spacing w:after="0"/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Energetska proizvodnja</w:t>
            </w:r>
          </w:p>
          <w:p w14:paraId="6EF4A7C1" w14:textId="77777777" w:rsidR="0045133A" w:rsidRPr="00DD04A7" w:rsidRDefault="0045133A" w:rsidP="0045133A">
            <w:pPr>
              <w:jc w:val="right"/>
              <w:rPr>
                <w:b/>
                <w:lang w:val="hr-HR"/>
              </w:rPr>
            </w:pPr>
            <w:r w:rsidRPr="00DD04A7">
              <w:rPr>
                <w:b/>
                <w:lang w:val="hr-HR"/>
              </w:rPr>
              <w:t>[MWh]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3AD49871" w14:textId="67D5B703" w:rsidR="0045133A" w:rsidRPr="00DD04A7" w:rsidRDefault="0045133A" w:rsidP="00DF6863">
            <w:pPr>
              <w:spacing w:after="0"/>
              <w:jc w:val="right"/>
              <w:rPr>
                <w:b/>
                <w:lang w:val="hr-HR"/>
              </w:rPr>
            </w:pPr>
            <w:r w:rsidRPr="00DD04A7">
              <w:rPr>
                <w:b/>
                <w:lang w:val="hr-HR"/>
              </w:rPr>
              <w:t>Primar</w:t>
            </w:r>
            <w:r w:rsidR="007B5783">
              <w:rPr>
                <w:b/>
                <w:lang w:val="hr-HR"/>
              </w:rPr>
              <w:t>na energetska potrošnja</w:t>
            </w:r>
            <w:r w:rsidRPr="00DD04A7">
              <w:rPr>
                <w:b/>
                <w:lang w:val="hr-HR"/>
              </w:rPr>
              <w:t xml:space="preserve"> </w:t>
            </w:r>
          </w:p>
          <w:p w14:paraId="08E8EE50" w14:textId="77777777" w:rsidR="0045133A" w:rsidRPr="00DD04A7" w:rsidRDefault="0045133A" w:rsidP="0045133A">
            <w:pPr>
              <w:spacing w:after="120"/>
              <w:ind w:firstLine="464"/>
              <w:jc w:val="right"/>
              <w:rPr>
                <w:b/>
                <w:lang w:val="hr-HR"/>
              </w:rPr>
            </w:pPr>
            <w:r w:rsidRPr="00DD04A7">
              <w:rPr>
                <w:b/>
                <w:lang w:val="hr-HR"/>
              </w:rPr>
              <w:t>[MWh]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14:paraId="6B0B1C92" w14:textId="1A898F74" w:rsidR="0045133A" w:rsidRPr="00DD04A7" w:rsidRDefault="0045133A" w:rsidP="00DF6863">
            <w:pPr>
              <w:spacing w:after="0"/>
              <w:jc w:val="right"/>
              <w:rPr>
                <w:b/>
                <w:lang w:val="hr-HR"/>
              </w:rPr>
            </w:pPr>
            <w:r w:rsidRPr="00DD04A7">
              <w:rPr>
                <w:b/>
                <w:lang w:val="hr-HR"/>
              </w:rPr>
              <w:t>CO</w:t>
            </w:r>
            <w:r w:rsidRPr="00DD04A7">
              <w:rPr>
                <w:b/>
                <w:vertAlign w:val="subscript"/>
                <w:lang w:val="hr-HR"/>
              </w:rPr>
              <w:t>2</w:t>
            </w:r>
            <w:r w:rsidRPr="00DD04A7">
              <w:rPr>
                <w:b/>
                <w:lang w:val="hr-HR"/>
              </w:rPr>
              <w:t xml:space="preserve"> emis</w:t>
            </w:r>
            <w:r w:rsidR="007B5783">
              <w:rPr>
                <w:b/>
                <w:lang w:val="hr-HR"/>
              </w:rPr>
              <w:t>ije</w:t>
            </w:r>
          </w:p>
          <w:p w14:paraId="01A0DCBB" w14:textId="77777777" w:rsidR="00DF6863" w:rsidRPr="00DD04A7" w:rsidRDefault="00DF6863" w:rsidP="00DF6863">
            <w:pPr>
              <w:spacing w:after="0"/>
              <w:jc w:val="right"/>
              <w:rPr>
                <w:b/>
                <w:lang w:val="hr-HR"/>
              </w:rPr>
            </w:pPr>
          </w:p>
          <w:p w14:paraId="2453FF02" w14:textId="0FA4EA0F" w:rsidR="0045133A" w:rsidRPr="00DD04A7" w:rsidRDefault="0045133A" w:rsidP="0045133A">
            <w:pPr>
              <w:spacing w:after="120"/>
              <w:jc w:val="right"/>
              <w:rPr>
                <w:b/>
                <w:lang w:val="hr-HR"/>
              </w:rPr>
            </w:pPr>
            <w:r w:rsidRPr="00DD04A7">
              <w:rPr>
                <w:b/>
                <w:lang w:val="hr-HR"/>
              </w:rPr>
              <w:t>[ton</w:t>
            </w:r>
            <w:r w:rsidR="004250FC">
              <w:rPr>
                <w:b/>
                <w:lang w:val="hr-HR"/>
              </w:rPr>
              <w:t>a</w:t>
            </w:r>
            <w:r w:rsidRPr="00DD04A7">
              <w:rPr>
                <w:b/>
                <w:lang w:val="hr-HR"/>
              </w:rPr>
              <w:t>]</w:t>
            </w:r>
          </w:p>
        </w:tc>
      </w:tr>
      <w:tr w:rsidR="006A493B" w:rsidRPr="00DD04A7" w14:paraId="5749E54D" w14:textId="77777777" w:rsidTr="006A493B">
        <w:trPr>
          <w:trHeight w:hRule="exact" w:val="340"/>
        </w:trPr>
        <w:tc>
          <w:tcPr>
            <w:tcW w:w="326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5C4D707" w14:textId="10D3EF7B" w:rsidR="006A493B" w:rsidRPr="00DD04A7" w:rsidRDefault="006A493B" w:rsidP="0045133A">
            <w:pPr>
              <w:spacing w:before="120" w:after="120"/>
              <w:ind w:left="33"/>
              <w:rPr>
                <w:lang w:val="hr-HR"/>
              </w:rPr>
            </w:pPr>
            <w:r w:rsidRPr="00DD04A7">
              <w:rPr>
                <w:lang w:val="hr-HR"/>
              </w:rPr>
              <w:t>Dies</w:t>
            </w:r>
            <w:r w:rsidR="007B5783">
              <w:rPr>
                <w:lang w:val="hr-HR"/>
              </w:rPr>
              <w:t>elski generator</w:t>
            </w:r>
          </w:p>
        </w:tc>
        <w:tc>
          <w:tcPr>
            <w:tcW w:w="1710" w:type="dxa"/>
            <w:tcBorders>
              <w:top w:val="single" w:sz="4" w:space="0" w:color="000000"/>
              <w:bottom w:val="nil"/>
            </w:tcBorders>
          </w:tcPr>
          <w:p w14:paraId="5B7A025B" w14:textId="0C426BAD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XX</w:t>
            </w:r>
          </w:p>
        </w:tc>
        <w:tc>
          <w:tcPr>
            <w:tcW w:w="2213" w:type="dxa"/>
            <w:tcBorders>
              <w:top w:val="single" w:sz="4" w:space="0" w:color="000000"/>
              <w:bottom w:val="nil"/>
            </w:tcBorders>
          </w:tcPr>
          <w:p w14:paraId="72B93C97" w14:textId="32D55B84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XX</w:t>
            </w:r>
          </w:p>
        </w:tc>
        <w:tc>
          <w:tcPr>
            <w:tcW w:w="1887" w:type="dxa"/>
            <w:tcBorders>
              <w:top w:val="single" w:sz="4" w:space="0" w:color="000000"/>
              <w:bottom w:val="nil"/>
            </w:tcBorders>
          </w:tcPr>
          <w:p w14:paraId="47565D66" w14:textId="1C5ADE90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XX</w:t>
            </w:r>
          </w:p>
        </w:tc>
      </w:tr>
      <w:tr w:rsidR="006A493B" w:rsidRPr="00DD04A7" w14:paraId="3DB52F43" w14:textId="77777777" w:rsidTr="006A493B">
        <w:trPr>
          <w:trHeight w:hRule="exact" w:val="340"/>
        </w:trPr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</w:tcPr>
          <w:p w14:paraId="520BAF2E" w14:textId="74D8198B" w:rsidR="006A493B" w:rsidRPr="00DD04A7" w:rsidRDefault="007B5783" w:rsidP="0045133A">
            <w:pPr>
              <w:spacing w:before="120" w:after="120"/>
              <w:ind w:left="33"/>
              <w:rPr>
                <w:lang w:val="hr-HR"/>
              </w:rPr>
            </w:pPr>
            <w:r>
              <w:rPr>
                <w:lang w:val="hr-HR"/>
              </w:rPr>
              <w:t>Plinske turbine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4C4D0E" w14:textId="0D0D3A84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YY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7B34E7A7" w14:textId="1457647E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YY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37A7DC24" w14:textId="42BCA447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YY</w:t>
            </w:r>
          </w:p>
        </w:tc>
      </w:tr>
      <w:tr w:rsidR="006A493B" w:rsidRPr="00DD04A7" w14:paraId="5A7ACE7B" w14:textId="77777777" w:rsidTr="006A493B">
        <w:trPr>
          <w:trHeight w:hRule="exact" w:val="340"/>
        </w:trPr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</w:tcPr>
          <w:p w14:paraId="71EB75D3" w14:textId="0FDCC089" w:rsidR="006A493B" w:rsidRPr="00DD04A7" w:rsidRDefault="007B5783" w:rsidP="0045133A">
            <w:pPr>
              <w:spacing w:before="120" w:after="120"/>
              <w:ind w:left="33"/>
              <w:rPr>
                <w:lang w:val="hr-HR"/>
              </w:rPr>
            </w:pPr>
            <w:r>
              <w:rPr>
                <w:lang w:val="hr-HR"/>
              </w:rPr>
              <w:t>Fotonapon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142672" w14:textId="78B6AB23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ZZ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14:paraId="2D13DAED" w14:textId="13C72140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--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6DC28525" w14:textId="6D38221E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--</w:t>
            </w:r>
          </w:p>
        </w:tc>
      </w:tr>
      <w:tr w:rsidR="006A493B" w:rsidRPr="00DD04A7" w14:paraId="70064CCC" w14:textId="77777777" w:rsidTr="00FF7B5E">
        <w:trPr>
          <w:trHeight w:hRule="exact" w:val="424"/>
        </w:trPr>
        <w:tc>
          <w:tcPr>
            <w:tcW w:w="3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BC3066" w14:textId="18607F6A" w:rsidR="006A493B" w:rsidRPr="00DD04A7" w:rsidRDefault="007B5783" w:rsidP="0045133A">
            <w:pPr>
              <w:spacing w:before="120" w:after="120"/>
              <w:ind w:left="33"/>
              <w:rPr>
                <w:lang w:val="hr-HR"/>
              </w:rPr>
            </w:pPr>
            <w:r>
              <w:rPr>
                <w:lang w:val="hr-HR"/>
              </w:rPr>
              <w:t>Vjetar</w:t>
            </w:r>
          </w:p>
          <w:p w14:paraId="780B8750" w14:textId="0F2F96E3" w:rsidR="006A493B" w:rsidRPr="00DD04A7" w:rsidRDefault="006A493B" w:rsidP="0045133A">
            <w:pPr>
              <w:spacing w:before="120" w:after="120"/>
              <w:ind w:left="33"/>
              <w:rPr>
                <w:lang w:val="hr-HR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6D52FDFF" w14:textId="155C3B45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TT</w:t>
            </w: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</w:tcPr>
          <w:p w14:paraId="23E71C3F" w14:textId="41852931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--</w:t>
            </w:r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</w:tcPr>
          <w:p w14:paraId="7433530F" w14:textId="48E6BF80" w:rsidR="006A493B" w:rsidRPr="00DD04A7" w:rsidRDefault="006A493B" w:rsidP="0045133A">
            <w:pPr>
              <w:spacing w:before="12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--</w:t>
            </w:r>
          </w:p>
        </w:tc>
      </w:tr>
      <w:tr w:rsidR="00FF7B5E" w:rsidRPr="00DD04A7" w14:paraId="5DF263B0" w14:textId="77777777" w:rsidTr="00FF7B5E">
        <w:trPr>
          <w:trHeight w:hRule="exact" w:val="424"/>
        </w:trPr>
        <w:tc>
          <w:tcPr>
            <w:tcW w:w="32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9F8E51" w14:textId="4EC8FD29" w:rsidR="00FF7B5E" w:rsidRPr="00DD04A7" w:rsidRDefault="004250FC" w:rsidP="00FF7B5E">
            <w:pPr>
              <w:spacing w:after="0"/>
              <w:ind w:left="33"/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UKUPNO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23A7DF" w14:textId="2C08BAB0" w:rsidR="00FF7B5E" w:rsidRPr="00DD04A7" w:rsidRDefault="00FF7B5E" w:rsidP="00FF7B5E">
            <w:pPr>
              <w:spacing w:after="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XYZT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2EBE5D0" w14:textId="12C4DD39" w:rsidR="00FF7B5E" w:rsidRPr="00DD04A7" w:rsidRDefault="00FF7B5E" w:rsidP="00FF7B5E">
            <w:pPr>
              <w:spacing w:after="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XY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EDC2131" w14:textId="0E8C1554" w:rsidR="00FF7B5E" w:rsidRPr="00DD04A7" w:rsidRDefault="00FF7B5E" w:rsidP="00FF7B5E">
            <w:pPr>
              <w:spacing w:after="0"/>
              <w:jc w:val="right"/>
              <w:rPr>
                <w:i/>
                <w:color w:val="7F7F7F" w:themeColor="text1" w:themeTint="80"/>
                <w:lang w:val="hr-HR"/>
              </w:rPr>
            </w:pPr>
            <w:r w:rsidRPr="00DD04A7">
              <w:rPr>
                <w:i/>
                <w:color w:val="7F7F7F" w:themeColor="text1" w:themeTint="80"/>
                <w:lang w:val="hr-HR"/>
              </w:rPr>
              <w:t>XY</w:t>
            </w:r>
          </w:p>
        </w:tc>
      </w:tr>
    </w:tbl>
    <w:p w14:paraId="5B75E192" w14:textId="77777777" w:rsidR="00A44284" w:rsidRPr="00DD04A7" w:rsidRDefault="00A44284" w:rsidP="00A44284">
      <w:pPr>
        <w:rPr>
          <w:lang w:val="hr-HR"/>
        </w:rPr>
      </w:pPr>
    </w:p>
    <w:p w14:paraId="1E93F21C" w14:textId="77777777" w:rsidR="000D00FD" w:rsidRPr="00DD04A7" w:rsidRDefault="007F1C32">
      <w:pPr>
        <w:spacing w:line="259" w:lineRule="auto"/>
        <w:jc w:val="left"/>
        <w:rPr>
          <w:lang w:val="hr-HR"/>
        </w:rPr>
      </w:pPr>
      <w:r w:rsidRPr="00DD04A7">
        <w:rPr>
          <w:b/>
          <w:lang w:val="hr-HR"/>
        </w:rPr>
        <w:lastRenderedPageBreak/>
        <w:br w:type="page"/>
      </w:r>
    </w:p>
    <w:p w14:paraId="420CBB07" w14:textId="77777777" w:rsidR="000D00FD" w:rsidRPr="00DD04A7" w:rsidRDefault="000D00FD">
      <w:pPr>
        <w:spacing w:line="259" w:lineRule="auto"/>
        <w:jc w:val="left"/>
        <w:rPr>
          <w:lang w:val="hr-HR"/>
        </w:rPr>
      </w:pPr>
    </w:p>
    <w:p w14:paraId="13D97AA8" w14:textId="385156AF" w:rsidR="00B631E3" w:rsidRPr="00DD04A7" w:rsidRDefault="004250FC" w:rsidP="00B631E3">
      <w:pPr>
        <w:pStyle w:val="Heading2"/>
        <w:rPr>
          <w:lang w:val="hr-HR"/>
        </w:rPr>
      </w:pPr>
      <w:bookmarkStart w:id="24" w:name="_Toc24015565"/>
      <w:r>
        <w:rPr>
          <w:lang w:val="hr-HR"/>
        </w:rPr>
        <w:t>Dionici</w:t>
      </w:r>
      <w:bookmarkEnd w:id="24"/>
    </w:p>
    <w:p w14:paraId="296BC9F0" w14:textId="2F9D3B40" w:rsidR="000D00FD" w:rsidRPr="00DD04A7" w:rsidRDefault="000D00FD" w:rsidP="000D00FD">
      <w:pPr>
        <w:pStyle w:val="NormalWeb"/>
        <w:spacing w:before="0" w:beforeAutospacing="0" w:after="0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Ovaj bi odjeljak trebao pružiti pregled lokalnih </w:t>
      </w:r>
      <w:r w:rsidR="004250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dionika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koji su relevantni za</w:t>
      </w:r>
      <w:r w:rsidR="004250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proces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tranzicij</w:t>
      </w:r>
      <w:r w:rsidR="004250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 ka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čist</w:t>
      </w:r>
      <w:r w:rsidR="004250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oj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energije na otoku . U kasnijoj fazi ova će vježba biti korisna za utvrđivanje upravljanja tranzicijom i za organiziranje savjetovanja sa dionicima. Sveobuhvatni registar dionika, sastavljen od pojedinačnih </w:t>
      </w:r>
      <w:r w:rsidR="00E721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dijelova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kako je dano u daljnjem tekstu, može se koristiti za identificiranje donositelja odluka koji su važni u procesu.</w:t>
      </w:r>
    </w:p>
    <w:p w14:paraId="272EBC07" w14:textId="77777777" w:rsidR="000D00FD" w:rsidRPr="00DD04A7" w:rsidRDefault="000D00FD" w:rsidP="000D00FD">
      <w:pPr>
        <w:pStyle w:val="NormalWeb"/>
        <w:spacing w:before="0" w:beforeAutospacing="0" w:after="0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</w:t>
      </w:r>
    </w:p>
    <w:p w14:paraId="46F02917" w14:textId="2B482331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Pored imena kontakta i organizacije, može se opisati i perspektiva dionika na prijelaz</w:t>
      </w:r>
      <w:r w:rsidR="00E721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ka čistoj energiji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. Koji aspekt tranzicije čiste energije utječe na dionike? Kakvo mišljenje imaju o procesu tranzicije? To omogućuje identificirati  </w:t>
      </w:r>
      <w:r w:rsidR="00E721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dionike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na </w:t>
      </w:r>
      <w:r w:rsidR="00E721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otoku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čiji je angažman u razvoju tranzicijski </w:t>
      </w:r>
      <w:r w:rsidR="00E721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smjer otoka u dijelu II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je poželj</w:t>
      </w:r>
      <w:r w:rsidR="00E721FC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an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.</w:t>
      </w:r>
    </w:p>
    <w:p w14:paraId="06653B50" w14:textId="492D6F1F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Više informacija o dioni</w:t>
      </w:r>
      <w:r w:rsidR="00E721FC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cima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mogu se </w:t>
      </w:r>
      <w:r w:rsidR="00E721FC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pro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naći u </w:t>
      </w:r>
      <w:r w:rsidR="00E721FC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Otočnom tranzicijskom priručniku,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 POGLAVLJE 3 „Razumijevanje dinamike Island” , odjeljak „mapiranje dionika”.</w:t>
      </w:r>
    </w:p>
    <w:p w14:paraId="261C5EC1" w14:textId="77777777" w:rsidR="000D00FD" w:rsidRPr="00DD04A7" w:rsidRDefault="000D00FD" w:rsidP="006F4CFA">
      <w:pPr>
        <w:spacing w:line="240" w:lineRule="auto"/>
        <w:rPr>
          <w:b/>
          <w:i/>
          <w:color w:val="2F5496" w:themeColor="accent1" w:themeShade="BF"/>
          <w:szCs w:val="20"/>
          <w:lang w:val="hr-HR"/>
        </w:rPr>
      </w:pPr>
    </w:p>
    <w:p w14:paraId="37A42A20" w14:textId="77777777" w:rsidR="00FC3E23" w:rsidRPr="00DD04A7" w:rsidRDefault="00FC3E23" w:rsidP="0045133A">
      <w:pPr>
        <w:keepNext/>
        <w:rPr>
          <w:lang w:val="hr-HR"/>
        </w:rPr>
      </w:pPr>
    </w:p>
    <w:p w14:paraId="5A0933F4" w14:textId="0F12E781" w:rsidR="00D2664F" w:rsidRPr="00DD04A7" w:rsidRDefault="00E721FC" w:rsidP="00B82DD6">
      <w:pPr>
        <w:pStyle w:val="Heading3"/>
        <w:rPr>
          <w:lang w:val="hr-HR"/>
        </w:rPr>
      </w:pPr>
      <w:bookmarkStart w:id="25" w:name="_Toc2349155"/>
      <w:r>
        <w:rPr>
          <w:lang w:val="hr-HR"/>
        </w:rPr>
        <w:t>Organizacije civilnog društva</w:t>
      </w:r>
    </w:p>
    <w:p w14:paraId="5298CB0E" w14:textId="77777777" w:rsidR="000D00FD" w:rsidRPr="00DD04A7" w:rsidRDefault="000D00FD" w:rsidP="000D00FD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Za svaku relevantnu organizaciju preporučuju se sljedeće pojedinosti:</w:t>
      </w:r>
    </w:p>
    <w:p w14:paraId="691480A9" w14:textId="77777777" w:rsidR="000D00FD" w:rsidRPr="00DD04A7" w:rsidRDefault="000D00FD" w:rsidP="00DF6863">
      <w:pPr>
        <w:rPr>
          <w:i/>
          <w:color w:val="2F5496" w:themeColor="accent1" w:themeShade="BF"/>
          <w:szCs w:val="20"/>
          <w:lang w:val="hr-HR"/>
        </w:rPr>
      </w:pP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DF6863" w:rsidRPr="00DD04A7" w14:paraId="66E00481" w14:textId="77777777" w:rsidTr="007F1C32">
        <w:trPr>
          <w:trHeight w:val="524"/>
        </w:trPr>
        <w:tc>
          <w:tcPr>
            <w:tcW w:w="8364" w:type="dxa"/>
            <w:vAlign w:val="center"/>
          </w:tcPr>
          <w:p w14:paraId="5DDC48C1" w14:textId="37CF8798" w:rsidR="00DF6863" w:rsidRPr="00DD04A7" w:rsidRDefault="00DF6863" w:rsidP="00072BC9">
            <w:pPr>
              <w:jc w:val="left"/>
              <w:rPr>
                <w:b/>
                <w:lang w:val="hr-HR"/>
              </w:rPr>
            </w:pPr>
            <w:r w:rsidRPr="00DD04A7">
              <w:rPr>
                <w:b/>
                <w:highlight w:val="green"/>
                <w:lang w:val="hr-HR"/>
              </w:rPr>
              <w:t>[</w:t>
            </w:r>
            <w:r w:rsidR="00E721FC">
              <w:rPr>
                <w:b/>
                <w:highlight w:val="green"/>
                <w:lang w:val="hr-HR"/>
              </w:rPr>
              <w:t>Naziv</w:t>
            </w:r>
            <w:r w:rsidRPr="00DD04A7">
              <w:rPr>
                <w:b/>
                <w:highlight w:val="green"/>
                <w:lang w:val="hr-HR"/>
              </w:rPr>
              <w:t>]</w:t>
            </w:r>
          </w:p>
        </w:tc>
      </w:tr>
      <w:tr w:rsidR="00DF6863" w:rsidRPr="00DD04A7" w14:paraId="3B49CE66" w14:textId="77777777" w:rsidTr="007F1C32">
        <w:trPr>
          <w:trHeight w:val="524"/>
        </w:trPr>
        <w:tc>
          <w:tcPr>
            <w:tcW w:w="8364" w:type="dxa"/>
            <w:vAlign w:val="center"/>
          </w:tcPr>
          <w:p w14:paraId="116BE145" w14:textId="3E912381" w:rsidR="00DF6863" w:rsidRPr="00DD04A7" w:rsidRDefault="00DF6863" w:rsidP="00072BC9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[Perspe</w:t>
            </w:r>
            <w:r w:rsidR="00E721FC">
              <w:rPr>
                <w:highlight w:val="green"/>
                <w:lang w:val="hr-HR"/>
              </w:rPr>
              <w:t>ktiva</w:t>
            </w:r>
            <w:r w:rsidRPr="00DD04A7">
              <w:rPr>
                <w:highlight w:val="green"/>
                <w:lang w:val="hr-HR"/>
              </w:rPr>
              <w:t>]</w:t>
            </w:r>
          </w:p>
          <w:p w14:paraId="642A068A" w14:textId="69A0DE1B" w:rsidR="00DF6863" w:rsidRPr="00DD04A7" w:rsidRDefault="00DF6863" w:rsidP="00072BC9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 w:rsidR="00E721FC">
              <w:rPr>
                <w:highlight w:val="green"/>
                <w:lang w:val="hr-HR"/>
              </w:rPr>
              <w:t>Angažman</w:t>
            </w:r>
            <w:r w:rsidR="00C2466D" w:rsidRPr="00DD04A7">
              <w:rPr>
                <w:highlight w:val="green"/>
                <w:lang w:val="hr-HR"/>
              </w:rPr>
              <w:t>]</w:t>
            </w:r>
          </w:p>
        </w:tc>
      </w:tr>
      <w:tr w:rsidR="00DF6863" w:rsidRPr="00DD04A7" w14:paraId="70317390" w14:textId="77777777" w:rsidTr="007F1C32">
        <w:trPr>
          <w:trHeight w:val="524"/>
        </w:trPr>
        <w:tc>
          <w:tcPr>
            <w:tcW w:w="8364" w:type="dxa"/>
            <w:vAlign w:val="center"/>
          </w:tcPr>
          <w:p w14:paraId="5D7F1ABC" w14:textId="6E5157F0" w:rsidR="00DF6863" w:rsidRPr="00DD04A7" w:rsidRDefault="00DF6863" w:rsidP="00072BC9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 w:rsidR="00E721FC">
              <w:rPr>
                <w:highlight w:val="green"/>
                <w:lang w:val="hr-HR"/>
              </w:rPr>
              <w:t>Kontakt osoba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</w:tbl>
    <w:p w14:paraId="0CACAFCA" w14:textId="77777777" w:rsidR="00D2664F" w:rsidRPr="00DD04A7" w:rsidRDefault="00D2664F" w:rsidP="0031532F">
      <w:pPr>
        <w:pStyle w:val="3ETxt"/>
        <w:rPr>
          <w:lang w:val="hr-HR"/>
        </w:rPr>
      </w:pPr>
    </w:p>
    <w:bookmarkEnd w:id="25"/>
    <w:p w14:paraId="57E090A7" w14:textId="3456BE04" w:rsidR="00B631E3" w:rsidRPr="00DD04A7" w:rsidRDefault="000F4B96" w:rsidP="00B631E3">
      <w:pPr>
        <w:pStyle w:val="Heading3"/>
        <w:rPr>
          <w:lang w:val="hr-HR"/>
        </w:rPr>
      </w:pPr>
      <w:r>
        <w:rPr>
          <w:lang w:val="hr-HR"/>
        </w:rPr>
        <w:t>Poslovni sektor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F4B96" w:rsidRPr="00DD04A7" w14:paraId="3E803C74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1012DBA0" w14:textId="77777777" w:rsidR="000F4B96" w:rsidRPr="00DD04A7" w:rsidRDefault="000F4B96" w:rsidP="00F62DE7">
            <w:pPr>
              <w:jc w:val="left"/>
              <w:rPr>
                <w:b/>
                <w:lang w:val="hr-HR"/>
              </w:rPr>
            </w:pPr>
            <w:r w:rsidRPr="00DD04A7">
              <w:rPr>
                <w:b/>
                <w:highlight w:val="green"/>
                <w:lang w:val="hr-HR"/>
              </w:rPr>
              <w:t>[</w:t>
            </w:r>
            <w:r>
              <w:rPr>
                <w:b/>
                <w:highlight w:val="green"/>
                <w:lang w:val="hr-HR"/>
              </w:rPr>
              <w:t>Naziv</w:t>
            </w:r>
            <w:r w:rsidRPr="00DD04A7">
              <w:rPr>
                <w:b/>
                <w:highlight w:val="green"/>
                <w:lang w:val="hr-HR"/>
              </w:rPr>
              <w:t>]</w:t>
            </w:r>
          </w:p>
        </w:tc>
      </w:tr>
      <w:tr w:rsidR="000F4B96" w:rsidRPr="00DD04A7" w14:paraId="625C1A33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589BF1E0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[Perspe</w:t>
            </w:r>
            <w:r>
              <w:rPr>
                <w:highlight w:val="green"/>
                <w:lang w:val="hr-HR"/>
              </w:rPr>
              <w:t>ktiva</w:t>
            </w:r>
            <w:r w:rsidRPr="00DD04A7">
              <w:rPr>
                <w:highlight w:val="green"/>
                <w:lang w:val="hr-HR"/>
              </w:rPr>
              <w:t>]</w:t>
            </w:r>
          </w:p>
          <w:p w14:paraId="719B0001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Angažman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  <w:tr w:rsidR="000F4B96" w:rsidRPr="00DD04A7" w14:paraId="207A6181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02660FD7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Kontakt osoba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</w:tbl>
    <w:p w14:paraId="57AC8C58" w14:textId="443B92F1" w:rsidR="00DF6863" w:rsidRPr="00DD04A7" w:rsidRDefault="00DF6863" w:rsidP="00DF6863">
      <w:pPr>
        <w:rPr>
          <w:lang w:val="hr-HR"/>
        </w:rPr>
      </w:pPr>
    </w:p>
    <w:p w14:paraId="64116329" w14:textId="32094D5B" w:rsidR="00B631E3" w:rsidRPr="00DD04A7" w:rsidRDefault="000F4B96" w:rsidP="00B631E3">
      <w:pPr>
        <w:pStyle w:val="Heading3"/>
        <w:rPr>
          <w:lang w:val="hr-HR"/>
        </w:rPr>
      </w:pPr>
      <w:r>
        <w:rPr>
          <w:lang w:val="hr-HR"/>
        </w:rPr>
        <w:t>Javni sektoe</w:t>
      </w:r>
    </w:p>
    <w:p w14:paraId="73DC387E" w14:textId="6DA28DAD" w:rsidR="003E48F4" w:rsidRPr="00DD04A7" w:rsidRDefault="000F4B96" w:rsidP="00FC3E23">
      <w:pPr>
        <w:pStyle w:val="Header3"/>
        <w:rPr>
          <w:lang w:val="hr-HR"/>
        </w:rPr>
      </w:pPr>
      <w:r>
        <w:rPr>
          <w:lang w:val="hr-HR"/>
        </w:rPr>
        <w:t>Upravljanje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F4B96" w:rsidRPr="00DD04A7" w14:paraId="36E5972B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1D03D3EB" w14:textId="77777777" w:rsidR="000F4B96" w:rsidRPr="00DD04A7" w:rsidRDefault="000F4B96" w:rsidP="00F62DE7">
            <w:pPr>
              <w:jc w:val="left"/>
              <w:rPr>
                <w:b/>
                <w:lang w:val="hr-HR"/>
              </w:rPr>
            </w:pPr>
            <w:r w:rsidRPr="00DD04A7">
              <w:rPr>
                <w:b/>
                <w:highlight w:val="green"/>
                <w:lang w:val="hr-HR"/>
              </w:rPr>
              <w:t>[</w:t>
            </w:r>
            <w:r>
              <w:rPr>
                <w:b/>
                <w:highlight w:val="green"/>
                <w:lang w:val="hr-HR"/>
              </w:rPr>
              <w:t>Naziv</w:t>
            </w:r>
            <w:r w:rsidRPr="00DD04A7">
              <w:rPr>
                <w:b/>
                <w:highlight w:val="green"/>
                <w:lang w:val="hr-HR"/>
              </w:rPr>
              <w:t>]</w:t>
            </w:r>
          </w:p>
        </w:tc>
      </w:tr>
      <w:tr w:rsidR="000F4B96" w:rsidRPr="00DD04A7" w14:paraId="0E9FDB3D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20E51A53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[Perspe</w:t>
            </w:r>
            <w:r>
              <w:rPr>
                <w:highlight w:val="green"/>
                <w:lang w:val="hr-HR"/>
              </w:rPr>
              <w:t>ktiva</w:t>
            </w:r>
            <w:r w:rsidRPr="00DD04A7">
              <w:rPr>
                <w:highlight w:val="green"/>
                <w:lang w:val="hr-HR"/>
              </w:rPr>
              <w:t>]</w:t>
            </w:r>
          </w:p>
          <w:p w14:paraId="102FA37E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Angažman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  <w:tr w:rsidR="000F4B96" w:rsidRPr="00DD04A7" w14:paraId="15D9E542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25AA6B0F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Kontakt osoba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</w:tbl>
    <w:p w14:paraId="163D5CC8" w14:textId="77777777" w:rsidR="00FC3E23" w:rsidRPr="00DD04A7" w:rsidRDefault="00FC3E23" w:rsidP="003E48F4">
      <w:pPr>
        <w:rPr>
          <w:lang w:val="hr-HR"/>
        </w:rPr>
      </w:pPr>
    </w:p>
    <w:p w14:paraId="7B4641F9" w14:textId="5FAA0B48" w:rsidR="003E48F4" w:rsidRPr="00DD04A7" w:rsidRDefault="000F4B96" w:rsidP="00FC3E23">
      <w:pPr>
        <w:pStyle w:val="Header3"/>
        <w:rPr>
          <w:lang w:val="hr-HR"/>
        </w:rPr>
      </w:pPr>
      <w:r>
        <w:rPr>
          <w:lang w:val="hr-HR"/>
        </w:rPr>
        <w:lastRenderedPageBreak/>
        <w:t>Gospodarski sektor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F4B96" w:rsidRPr="00DD04A7" w14:paraId="518897B4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197FA924" w14:textId="77777777" w:rsidR="000F4B96" w:rsidRPr="00DD04A7" w:rsidRDefault="000F4B96" w:rsidP="00F62DE7">
            <w:pPr>
              <w:jc w:val="left"/>
              <w:rPr>
                <w:b/>
                <w:lang w:val="hr-HR"/>
              </w:rPr>
            </w:pPr>
            <w:r w:rsidRPr="00DD04A7">
              <w:rPr>
                <w:b/>
                <w:highlight w:val="green"/>
                <w:lang w:val="hr-HR"/>
              </w:rPr>
              <w:t>[</w:t>
            </w:r>
            <w:r>
              <w:rPr>
                <w:b/>
                <w:highlight w:val="green"/>
                <w:lang w:val="hr-HR"/>
              </w:rPr>
              <w:t>Naziv</w:t>
            </w:r>
            <w:r w:rsidRPr="00DD04A7">
              <w:rPr>
                <w:b/>
                <w:highlight w:val="green"/>
                <w:lang w:val="hr-HR"/>
              </w:rPr>
              <w:t>]</w:t>
            </w:r>
          </w:p>
        </w:tc>
      </w:tr>
      <w:tr w:rsidR="000F4B96" w:rsidRPr="00DD04A7" w14:paraId="3301F624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0030B521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[Perspe</w:t>
            </w:r>
            <w:r>
              <w:rPr>
                <w:highlight w:val="green"/>
                <w:lang w:val="hr-HR"/>
              </w:rPr>
              <w:t>ktiva</w:t>
            </w:r>
            <w:r w:rsidRPr="00DD04A7">
              <w:rPr>
                <w:highlight w:val="green"/>
                <w:lang w:val="hr-HR"/>
              </w:rPr>
              <w:t>]</w:t>
            </w:r>
          </w:p>
          <w:p w14:paraId="67A15335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Angažman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  <w:tr w:rsidR="000F4B96" w:rsidRPr="00DD04A7" w14:paraId="2F0196FC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6D4C9BCA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Kontakt osoba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</w:tbl>
    <w:p w14:paraId="2FC09021" w14:textId="77777777" w:rsidR="00FC3E23" w:rsidRPr="00DD04A7" w:rsidRDefault="00FC3E23" w:rsidP="003E48F4">
      <w:pPr>
        <w:rPr>
          <w:lang w:val="hr-HR"/>
        </w:rPr>
      </w:pPr>
    </w:p>
    <w:p w14:paraId="515DEB90" w14:textId="3BD9ABFF" w:rsidR="00B631E3" w:rsidRPr="00DD04A7" w:rsidRDefault="000F4B96" w:rsidP="00B631E3">
      <w:pPr>
        <w:pStyle w:val="Heading3"/>
        <w:rPr>
          <w:lang w:val="hr-HR"/>
        </w:rPr>
      </w:pPr>
      <w:r>
        <w:rPr>
          <w:lang w:val="hr-HR"/>
        </w:rPr>
        <w:t>Škole i sveučilišta</w:t>
      </w:r>
    </w:p>
    <w:p w14:paraId="1B22C1C4" w14:textId="58D1913E" w:rsidR="00B631E3" w:rsidRPr="00DD04A7" w:rsidRDefault="000F4B96" w:rsidP="00FC3E23">
      <w:pPr>
        <w:pStyle w:val="Header3"/>
        <w:rPr>
          <w:lang w:val="hr-HR"/>
        </w:rPr>
      </w:pPr>
      <w:r>
        <w:rPr>
          <w:lang w:val="hr-HR"/>
        </w:rPr>
        <w:t>Visoko obrazovanje i istraživanja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F4B96" w:rsidRPr="00DD04A7" w14:paraId="5F9FA83F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7ABDD4F5" w14:textId="77777777" w:rsidR="000F4B96" w:rsidRPr="00DD04A7" w:rsidRDefault="000F4B96" w:rsidP="00F62DE7">
            <w:pPr>
              <w:jc w:val="left"/>
              <w:rPr>
                <w:b/>
                <w:lang w:val="hr-HR"/>
              </w:rPr>
            </w:pPr>
            <w:r w:rsidRPr="00DD04A7">
              <w:rPr>
                <w:b/>
                <w:highlight w:val="green"/>
                <w:lang w:val="hr-HR"/>
              </w:rPr>
              <w:t>[</w:t>
            </w:r>
            <w:r>
              <w:rPr>
                <w:b/>
                <w:highlight w:val="green"/>
                <w:lang w:val="hr-HR"/>
              </w:rPr>
              <w:t>Naziv</w:t>
            </w:r>
            <w:r w:rsidRPr="00DD04A7">
              <w:rPr>
                <w:b/>
                <w:highlight w:val="green"/>
                <w:lang w:val="hr-HR"/>
              </w:rPr>
              <w:t>]</w:t>
            </w:r>
          </w:p>
        </w:tc>
      </w:tr>
      <w:tr w:rsidR="000F4B96" w:rsidRPr="00DD04A7" w14:paraId="615DDC1D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0B0672CC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[Perspe</w:t>
            </w:r>
            <w:r>
              <w:rPr>
                <w:highlight w:val="green"/>
                <w:lang w:val="hr-HR"/>
              </w:rPr>
              <w:t>ktiva</w:t>
            </w:r>
            <w:r w:rsidRPr="00DD04A7">
              <w:rPr>
                <w:highlight w:val="green"/>
                <w:lang w:val="hr-HR"/>
              </w:rPr>
              <w:t>]</w:t>
            </w:r>
          </w:p>
          <w:p w14:paraId="116EC3E5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Angažman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  <w:tr w:rsidR="000F4B96" w:rsidRPr="00DD04A7" w14:paraId="64EEC07A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68D24004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Kontakt osoba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</w:tbl>
    <w:p w14:paraId="358C3D4D" w14:textId="77777777" w:rsidR="00106D24" w:rsidRPr="00DD04A7" w:rsidRDefault="00106D24" w:rsidP="00106D24">
      <w:pPr>
        <w:rPr>
          <w:lang w:val="hr-HR"/>
        </w:rPr>
      </w:pPr>
    </w:p>
    <w:p w14:paraId="60189607" w14:textId="02B7F84A" w:rsidR="00B631E3" w:rsidRPr="00DD04A7" w:rsidRDefault="000F4B96" w:rsidP="00FC3E23">
      <w:pPr>
        <w:pStyle w:val="Header3"/>
        <w:rPr>
          <w:lang w:val="hr-HR"/>
        </w:rPr>
      </w:pPr>
      <w:r>
        <w:rPr>
          <w:lang w:val="hr-HR"/>
        </w:rPr>
        <w:t>Srednja škola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F4B96" w:rsidRPr="00DD04A7" w14:paraId="76A3BC56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66BCDE29" w14:textId="77777777" w:rsidR="000F4B96" w:rsidRPr="00DD04A7" w:rsidRDefault="000F4B96" w:rsidP="00F62DE7">
            <w:pPr>
              <w:jc w:val="left"/>
              <w:rPr>
                <w:b/>
                <w:lang w:val="hr-HR"/>
              </w:rPr>
            </w:pPr>
            <w:r w:rsidRPr="00DD04A7">
              <w:rPr>
                <w:b/>
                <w:highlight w:val="green"/>
                <w:lang w:val="hr-HR"/>
              </w:rPr>
              <w:t>[</w:t>
            </w:r>
            <w:r>
              <w:rPr>
                <w:b/>
                <w:highlight w:val="green"/>
                <w:lang w:val="hr-HR"/>
              </w:rPr>
              <w:t>Naziv</w:t>
            </w:r>
            <w:r w:rsidRPr="00DD04A7">
              <w:rPr>
                <w:b/>
                <w:highlight w:val="green"/>
                <w:lang w:val="hr-HR"/>
              </w:rPr>
              <w:t>]</w:t>
            </w:r>
          </w:p>
        </w:tc>
      </w:tr>
      <w:tr w:rsidR="000F4B96" w:rsidRPr="00DD04A7" w14:paraId="645DFF94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027D203D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[Perspe</w:t>
            </w:r>
            <w:r>
              <w:rPr>
                <w:highlight w:val="green"/>
                <w:lang w:val="hr-HR"/>
              </w:rPr>
              <w:t>ktiva</w:t>
            </w:r>
            <w:r w:rsidRPr="00DD04A7">
              <w:rPr>
                <w:highlight w:val="green"/>
                <w:lang w:val="hr-HR"/>
              </w:rPr>
              <w:t>]</w:t>
            </w:r>
          </w:p>
          <w:p w14:paraId="154A7458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Angažman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  <w:tr w:rsidR="000F4B96" w:rsidRPr="00DD04A7" w14:paraId="1FC69929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0522B6AC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Kontakt osoba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</w:tbl>
    <w:p w14:paraId="13805C59" w14:textId="77777777" w:rsidR="00106D24" w:rsidRPr="00DD04A7" w:rsidRDefault="00106D24" w:rsidP="00106D24">
      <w:pPr>
        <w:rPr>
          <w:lang w:val="hr-HR"/>
        </w:rPr>
      </w:pPr>
    </w:p>
    <w:p w14:paraId="3E638338" w14:textId="58CC11D3" w:rsidR="00B631E3" w:rsidRPr="00DD04A7" w:rsidRDefault="000F4B96" w:rsidP="00FC3E23">
      <w:pPr>
        <w:pStyle w:val="Header3"/>
        <w:rPr>
          <w:lang w:val="hr-HR"/>
        </w:rPr>
      </w:pPr>
      <w:r>
        <w:rPr>
          <w:lang w:val="hr-HR"/>
        </w:rPr>
        <w:t>Osnovna škola</w:t>
      </w: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0F4B96" w:rsidRPr="00DD04A7" w14:paraId="23B56642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27D4A472" w14:textId="77777777" w:rsidR="000F4B96" w:rsidRPr="00DD04A7" w:rsidRDefault="000F4B96" w:rsidP="00F62DE7">
            <w:pPr>
              <w:jc w:val="left"/>
              <w:rPr>
                <w:b/>
                <w:lang w:val="hr-HR"/>
              </w:rPr>
            </w:pPr>
            <w:r w:rsidRPr="00DD04A7">
              <w:rPr>
                <w:b/>
                <w:highlight w:val="green"/>
                <w:lang w:val="hr-HR"/>
              </w:rPr>
              <w:t>[</w:t>
            </w:r>
            <w:r>
              <w:rPr>
                <w:b/>
                <w:highlight w:val="green"/>
                <w:lang w:val="hr-HR"/>
              </w:rPr>
              <w:t>Naziv</w:t>
            </w:r>
            <w:r w:rsidRPr="00DD04A7">
              <w:rPr>
                <w:b/>
                <w:highlight w:val="green"/>
                <w:lang w:val="hr-HR"/>
              </w:rPr>
              <w:t>]</w:t>
            </w:r>
          </w:p>
        </w:tc>
      </w:tr>
      <w:tr w:rsidR="000F4B96" w:rsidRPr="00DD04A7" w14:paraId="15795567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0120B857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[Perspe</w:t>
            </w:r>
            <w:r>
              <w:rPr>
                <w:highlight w:val="green"/>
                <w:lang w:val="hr-HR"/>
              </w:rPr>
              <w:t>ktiva</w:t>
            </w:r>
            <w:r w:rsidRPr="00DD04A7">
              <w:rPr>
                <w:highlight w:val="green"/>
                <w:lang w:val="hr-HR"/>
              </w:rPr>
              <w:t>]</w:t>
            </w:r>
          </w:p>
          <w:p w14:paraId="5F4C8439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Angažman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  <w:tr w:rsidR="000F4B96" w:rsidRPr="00DD04A7" w14:paraId="7F18DB99" w14:textId="77777777" w:rsidTr="00F62DE7">
        <w:trPr>
          <w:trHeight w:val="524"/>
        </w:trPr>
        <w:tc>
          <w:tcPr>
            <w:tcW w:w="8364" w:type="dxa"/>
            <w:vAlign w:val="center"/>
          </w:tcPr>
          <w:p w14:paraId="6ACE156D" w14:textId="77777777" w:rsidR="000F4B96" w:rsidRPr="00DD04A7" w:rsidRDefault="000F4B96" w:rsidP="00F62DE7">
            <w:pPr>
              <w:jc w:val="left"/>
              <w:rPr>
                <w:highlight w:val="green"/>
                <w:lang w:val="hr-HR"/>
              </w:rPr>
            </w:pPr>
            <w:r w:rsidRPr="00DD04A7">
              <w:rPr>
                <w:highlight w:val="green"/>
                <w:lang w:val="hr-HR"/>
              </w:rPr>
              <w:t>[</w:t>
            </w:r>
            <w:r>
              <w:rPr>
                <w:highlight w:val="green"/>
                <w:lang w:val="hr-HR"/>
              </w:rPr>
              <w:t>Kontakt osoba</w:t>
            </w:r>
            <w:r w:rsidRPr="00DD04A7">
              <w:rPr>
                <w:highlight w:val="green"/>
                <w:lang w:val="hr-HR"/>
              </w:rPr>
              <w:t>]</w:t>
            </w:r>
          </w:p>
        </w:tc>
      </w:tr>
    </w:tbl>
    <w:p w14:paraId="66119B00" w14:textId="77777777" w:rsidR="00106D24" w:rsidRPr="00DD04A7" w:rsidRDefault="00106D24" w:rsidP="00106D24">
      <w:pPr>
        <w:rPr>
          <w:lang w:val="hr-HR"/>
        </w:rPr>
      </w:pPr>
    </w:p>
    <w:p w14:paraId="4C744610" w14:textId="77777777" w:rsidR="00106D24" w:rsidRPr="00DD04A7" w:rsidRDefault="00106D24" w:rsidP="00106D24">
      <w:pPr>
        <w:rPr>
          <w:lang w:val="hr-HR"/>
        </w:rPr>
      </w:pPr>
      <w:r w:rsidRPr="00DD04A7">
        <w:rPr>
          <w:lang w:val="hr-HR"/>
        </w:rPr>
        <w:br w:type="page"/>
      </w:r>
    </w:p>
    <w:p w14:paraId="23B0AACE" w14:textId="5481757E" w:rsidR="00B631E3" w:rsidRPr="00DD04A7" w:rsidRDefault="000F4B96" w:rsidP="00B631E3">
      <w:pPr>
        <w:pStyle w:val="Heading2"/>
        <w:rPr>
          <w:lang w:val="hr-HR"/>
        </w:rPr>
      </w:pPr>
      <w:r>
        <w:rPr>
          <w:lang w:val="hr-HR"/>
        </w:rPr>
        <w:lastRenderedPageBreak/>
        <w:t>Energetska politika i regulativa</w:t>
      </w:r>
    </w:p>
    <w:p w14:paraId="2FC6C7F5" w14:textId="7C3F4654" w:rsidR="000D00FD" w:rsidRPr="00DD04A7" w:rsidRDefault="000D00FD" w:rsidP="000D00FD">
      <w:pPr>
        <w:pStyle w:val="NormalWeb"/>
        <w:spacing w:before="0" w:beforeAutospacing="0" w:after="160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Proces tranzicije na otoku u</w:t>
      </w:r>
      <w:r w:rsidR="000F4B96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komponiran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je u sveobuhvatnu politiku i propise. Razumijevanje lokalne, regionalne, nacionalne i europske politike</w:t>
      </w:r>
      <w:r w:rsidR="000F4B96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,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regulira</w:t>
      </w:r>
      <w:r w:rsidR="000F4B96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nje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energij</w:t>
      </w:r>
      <w:r w:rsidR="000F4B96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i</w:t>
      </w:r>
      <w:r w:rsidR="000F4B96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njenu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pokretljivost omogućuje identifikaciju političk</w:t>
      </w:r>
      <w:r w:rsidR="000F4B96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og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top-down cilj</w:t>
      </w:r>
      <w:r w:rsidR="000F4B96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a.</w:t>
      </w:r>
    </w:p>
    <w:p w14:paraId="77F1BDCB" w14:textId="77777777" w:rsidR="000D00FD" w:rsidRPr="00DD04A7" w:rsidRDefault="000D00FD" w:rsidP="000D00FD">
      <w:pPr>
        <w:pStyle w:val="NormalWeb"/>
        <w:spacing w:before="0" w:beforeAutospacing="0" w:after="160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Aspekti politike i propisa koji se istražuju mogu obuhvaćati:</w:t>
      </w:r>
    </w:p>
    <w:p w14:paraId="100B1301" w14:textId="77777777" w:rsidR="000D00FD" w:rsidRPr="00DD04A7" w:rsidRDefault="000D00FD" w:rsidP="000D00FD">
      <w:pPr>
        <w:numPr>
          <w:ilvl w:val="0"/>
          <w:numId w:val="41"/>
        </w:numPr>
        <w:spacing w:after="0" w:line="240" w:lineRule="auto"/>
        <w:ind w:left="574" w:firstLine="0"/>
        <w:jc w:val="left"/>
        <w:rPr>
          <w:color w:val="2F5496"/>
          <w:szCs w:val="20"/>
          <w:lang w:val="hr-HR"/>
        </w:rPr>
      </w:pPr>
      <w:r w:rsidRPr="00DD04A7">
        <w:rPr>
          <w:i/>
          <w:iCs/>
          <w:color w:val="2F5496"/>
          <w:szCs w:val="20"/>
          <w:lang w:val="hr-HR"/>
        </w:rPr>
        <w:t>obvezujuće ciljeve obnovljive energije ili energetske učinkovitosti ,</w:t>
      </w:r>
    </w:p>
    <w:p w14:paraId="13E4C364" w14:textId="77777777" w:rsidR="000D00FD" w:rsidRPr="00DD04A7" w:rsidRDefault="000D00FD" w:rsidP="000D00FD">
      <w:pPr>
        <w:numPr>
          <w:ilvl w:val="0"/>
          <w:numId w:val="41"/>
        </w:numPr>
        <w:spacing w:after="0" w:line="240" w:lineRule="auto"/>
        <w:ind w:left="574" w:firstLine="0"/>
        <w:jc w:val="left"/>
        <w:rPr>
          <w:color w:val="2F5496"/>
          <w:szCs w:val="20"/>
          <w:lang w:val="hr-HR"/>
        </w:rPr>
      </w:pPr>
      <w:r w:rsidRPr="00DD04A7">
        <w:rPr>
          <w:i/>
          <w:iCs/>
          <w:color w:val="2F5496"/>
          <w:szCs w:val="20"/>
          <w:lang w:val="hr-HR"/>
        </w:rPr>
        <w:t>opredjeljenje otočkih općina prema Sporazumu gradonačelnika ,</w:t>
      </w:r>
    </w:p>
    <w:p w14:paraId="4A288561" w14:textId="5622EBE2" w:rsidR="000D00FD" w:rsidRPr="00DD04A7" w:rsidRDefault="000D00FD" w:rsidP="000D00FD">
      <w:pPr>
        <w:numPr>
          <w:ilvl w:val="0"/>
          <w:numId w:val="41"/>
        </w:numPr>
        <w:spacing w:line="240" w:lineRule="auto"/>
        <w:ind w:left="574" w:firstLine="0"/>
        <w:jc w:val="left"/>
        <w:rPr>
          <w:color w:val="2F5496"/>
          <w:szCs w:val="20"/>
          <w:lang w:val="hr-HR"/>
        </w:rPr>
      </w:pPr>
      <w:r w:rsidRPr="00DD04A7">
        <w:rPr>
          <w:i/>
          <w:iCs/>
          <w:color w:val="2F5496"/>
          <w:szCs w:val="20"/>
          <w:lang w:val="hr-HR"/>
        </w:rPr>
        <w:t>druge regula</w:t>
      </w:r>
      <w:r w:rsidR="000F4B96">
        <w:rPr>
          <w:i/>
          <w:iCs/>
          <w:color w:val="2F5496"/>
          <w:szCs w:val="20"/>
          <w:lang w:val="hr-HR"/>
        </w:rPr>
        <w:t>tive</w:t>
      </w:r>
      <w:r w:rsidRPr="00DD04A7">
        <w:rPr>
          <w:i/>
          <w:iCs/>
          <w:color w:val="2F5496"/>
          <w:szCs w:val="20"/>
          <w:lang w:val="hr-HR"/>
        </w:rPr>
        <w:t>, npr. povezane s regulacijom dimnih plinova, koje mogu značajno utjecati na energetski prijelaz otoka.</w:t>
      </w:r>
    </w:p>
    <w:p w14:paraId="0F91C0F8" w14:textId="77777777" w:rsidR="000D00FD" w:rsidRPr="00DD04A7" w:rsidRDefault="000D00FD" w:rsidP="000D00FD">
      <w:pPr>
        <w:pStyle w:val="NormalWeb"/>
        <w:spacing w:before="0" w:beforeAutospacing="0" w:after="160" w:line="230" w:lineRule="atLeast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color w:val="000000"/>
          <w:sz w:val="20"/>
          <w:szCs w:val="20"/>
          <w:lang w:val="hr-HR"/>
        </w:rPr>
        <w:t> </w:t>
      </w:r>
    </w:p>
    <w:p w14:paraId="65A49EB1" w14:textId="27DDE518" w:rsidR="000D00FD" w:rsidRPr="00DD04A7" w:rsidRDefault="000D00FD" w:rsidP="000D00FD">
      <w:pPr>
        <w:pStyle w:val="Heading3"/>
        <w:spacing w:line="253" w:lineRule="atLeast"/>
        <w:rPr>
          <w:color w:val="000000"/>
          <w:szCs w:val="22"/>
          <w:lang w:val="hr-HR"/>
        </w:rPr>
      </w:pPr>
      <w:r w:rsidRPr="00DD04A7">
        <w:rPr>
          <w:color w:val="222A35"/>
          <w:szCs w:val="22"/>
          <w:lang w:val="hr-HR"/>
        </w:rPr>
        <w:t>Lokalna politika i regula</w:t>
      </w:r>
      <w:r w:rsidR="000F4B96">
        <w:rPr>
          <w:color w:val="222A35"/>
          <w:szCs w:val="22"/>
          <w:lang w:val="hr-HR"/>
        </w:rPr>
        <w:t>tiva</w:t>
      </w:r>
    </w:p>
    <w:p w14:paraId="7768D9C5" w14:textId="0DFD5C01" w:rsidR="000D00FD" w:rsidRPr="00DD04A7" w:rsidRDefault="000D00FD" w:rsidP="000D00FD">
      <w:pPr>
        <w:pStyle w:val="NormalWeb"/>
        <w:spacing w:before="0" w:beforeAutospacing="0" w:after="160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Kako biti </w:t>
      </w:r>
      <w:r w:rsidR="0020442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usklađen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sa svim relevantnim politikama ili programima na lokalnoj razini u vezi s energijom ili mobilnosti.</w:t>
      </w:r>
    </w:p>
    <w:p w14:paraId="0C7742DF" w14:textId="5321FB39" w:rsidR="000D00FD" w:rsidRPr="00DD04A7" w:rsidRDefault="000D00FD" w:rsidP="000D00FD">
      <w:pPr>
        <w:pStyle w:val="Heading3"/>
        <w:spacing w:line="253" w:lineRule="atLeast"/>
        <w:rPr>
          <w:color w:val="000000"/>
          <w:szCs w:val="22"/>
          <w:lang w:val="hr-HR"/>
        </w:rPr>
      </w:pPr>
      <w:r w:rsidRPr="00DD04A7">
        <w:rPr>
          <w:color w:val="222A35"/>
          <w:szCs w:val="22"/>
          <w:lang w:val="hr-HR"/>
        </w:rPr>
        <w:t>Regionalna politika i regula</w:t>
      </w:r>
      <w:r w:rsidR="000F4B96">
        <w:rPr>
          <w:color w:val="222A35"/>
          <w:szCs w:val="22"/>
          <w:lang w:val="hr-HR"/>
        </w:rPr>
        <w:t>tiva</w:t>
      </w:r>
    </w:p>
    <w:p w14:paraId="564D127E" w14:textId="1D23A07B" w:rsidR="000D00FD" w:rsidRPr="00DD04A7" w:rsidRDefault="000D00FD" w:rsidP="000D00FD">
      <w:pPr>
        <w:pStyle w:val="NormalWeb"/>
        <w:spacing w:before="0" w:beforeAutospacing="0" w:after="160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Kako biti </w:t>
      </w:r>
      <w:r w:rsidR="0020442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usklađen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sa svim relevantnim politikama ili programima na lokalnoj razini u vezi s energijom ili mobilnosti .</w:t>
      </w:r>
    </w:p>
    <w:p w14:paraId="65CB4F6D" w14:textId="6A7BF16C" w:rsidR="000D00FD" w:rsidRPr="00DD04A7" w:rsidRDefault="000D00FD" w:rsidP="000D00FD">
      <w:pPr>
        <w:pStyle w:val="Heading3"/>
        <w:spacing w:line="253" w:lineRule="atLeast"/>
        <w:rPr>
          <w:color w:val="000000"/>
          <w:szCs w:val="22"/>
          <w:lang w:val="hr-HR"/>
        </w:rPr>
      </w:pPr>
      <w:r w:rsidRPr="00DD04A7">
        <w:rPr>
          <w:color w:val="222A35"/>
          <w:szCs w:val="22"/>
          <w:lang w:val="hr-HR"/>
        </w:rPr>
        <w:t>Nacionalna politika i regula</w:t>
      </w:r>
      <w:r w:rsidR="000F4B96">
        <w:rPr>
          <w:color w:val="222A35"/>
          <w:szCs w:val="22"/>
          <w:lang w:val="hr-HR"/>
        </w:rPr>
        <w:t>tiva</w:t>
      </w:r>
    </w:p>
    <w:p w14:paraId="43B2F8C4" w14:textId="1646D476" w:rsidR="000D00FD" w:rsidRPr="00DD04A7" w:rsidRDefault="000D00FD" w:rsidP="000D00FD">
      <w:pPr>
        <w:pStyle w:val="NormalWeb"/>
        <w:spacing w:before="0" w:beforeAutospacing="0" w:after="160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Da se ispun</w:t>
      </w:r>
      <w:r w:rsidR="0020442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svi </w:t>
      </w:r>
      <w:r w:rsidR="0020442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propisi i politike koje su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relevantn</w:t>
      </w:r>
      <w:r w:rsidR="0020442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nacionalnoj razini koj</w:t>
      </w:r>
      <w:r w:rsidR="0020442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se odnose na energiju ili mobilnost.</w:t>
      </w:r>
    </w:p>
    <w:p w14:paraId="43FE4DD2" w14:textId="6B6259F9" w:rsidR="000D00FD" w:rsidRPr="00DD04A7" w:rsidRDefault="000D00FD" w:rsidP="000D00FD">
      <w:pPr>
        <w:pStyle w:val="Heading3"/>
        <w:spacing w:line="253" w:lineRule="atLeast"/>
        <w:rPr>
          <w:color w:val="000000"/>
          <w:szCs w:val="22"/>
          <w:lang w:val="hr-HR"/>
        </w:rPr>
      </w:pPr>
      <w:r w:rsidRPr="00DD04A7">
        <w:rPr>
          <w:color w:val="222A35"/>
          <w:szCs w:val="22"/>
          <w:lang w:val="hr-HR"/>
        </w:rPr>
        <w:t>Europska politika i regula</w:t>
      </w:r>
      <w:r w:rsidR="000F4B96">
        <w:rPr>
          <w:color w:val="222A35"/>
          <w:szCs w:val="22"/>
          <w:lang w:val="hr-HR"/>
        </w:rPr>
        <w:t>tiva</w:t>
      </w:r>
    </w:p>
    <w:p w14:paraId="0DFC4A3B" w14:textId="77777777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Sažetak relevantnih europskih politika koje utječu na energetski sektor možete pronaći na mreži na: </w:t>
      </w:r>
      <w:hyperlink r:id="rId19" w:history="1">
        <w:r w:rsidRPr="00DD04A7">
          <w:rPr>
            <w:rStyle w:val="Hyperlink"/>
            <w:rFonts w:ascii="Century Gothic" w:hAnsi="Century Gothic"/>
            <w:i/>
            <w:iCs/>
            <w:color w:val="034990"/>
            <w:sz w:val="20"/>
            <w:szCs w:val="20"/>
            <w:lang w:val="hr-HR"/>
          </w:rPr>
          <w:t>https://euislands.eu/library</w:t>
        </w:r>
      </w:hyperlink>
    </w:p>
    <w:p w14:paraId="22B88437" w14:textId="77777777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</w:t>
      </w:r>
    </w:p>
    <w:p w14:paraId="1BB4F019" w14:textId="553AFFF7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Više informacija o tome kako</w:t>
      </w:r>
      <w:r w:rsidR="0020442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ispuniti ovaj odjeljak može se naći u </w:t>
      </w:r>
      <w:r w:rsidR="0020442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Otočnom tranzicijskom priručniku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, poglavlje 3 'razumijevanje dinamike </w:t>
      </w:r>
      <w:r w:rsidR="0020442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otoka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 </w:t>
      </w:r>
      <w:r w:rsidR="0020442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s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 </w:t>
      </w:r>
      <w:r w:rsidR="0020442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odijeljkom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: „ </w:t>
      </w:r>
      <w:r w:rsidR="0020442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energetska 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politika i </w:t>
      </w:r>
      <w:r w:rsidR="0020442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regulativa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 ” .</w:t>
      </w:r>
    </w:p>
    <w:p w14:paraId="2CBA53CC" w14:textId="262E9950" w:rsidR="007F1C32" w:rsidRPr="00DD04A7" w:rsidRDefault="007F1C32">
      <w:pPr>
        <w:spacing w:line="259" w:lineRule="auto"/>
        <w:jc w:val="left"/>
        <w:rPr>
          <w:b/>
          <w:lang w:val="hr-HR"/>
        </w:rPr>
      </w:pPr>
      <w:r w:rsidRPr="00DD04A7">
        <w:rPr>
          <w:b/>
          <w:lang w:val="hr-HR"/>
        </w:rPr>
        <w:br w:type="page"/>
      </w:r>
    </w:p>
    <w:p w14:paraId="64BC6801" w14:textId="77777777" w:rsidR="000D00FD" w:rsidRPr="00DD04A7" w:rsidRDefault="000D00FD">
      <w:pPr>
        <w:spacing w:line="259" w:lineRule="auto"/>
        <w:jc w:val="left"/>
        <w:rPr>
          <w:lang w:val="hr-HR"/>
        </w:rPr>
      </w:pPr>
    </w:p>
    <w:p w14:paraId="151F32EF" w14:textId="1CA993F4" w:rsidR="00B631E3" w:rsidRPr="00DD04A7" w:rsidRDefault="00204427" w:rsidP="00B631E3">
      <w:pPr>
        <w:pStyle w:val="Heading1"/>
        <w:rPr>
          <w:lang w:val="hr-HR"/>
        </w:rPr>
      </w:pPr>
      <w:bookmarkStart w:id="26" w:name="_Toc24015575"/>
      <w:r>
        <w:rPr>
          <w:lang w:val="hr-HR"/>
        </w:rPr>
        <w:t>Dio</w:t>
      </w:r>
      <w:r w:rsidR="00B631E3" w:rsidRPr="00DD04A7">
        <w:rPr>
          <w:lang w:val="hr-HR"/>
        </w:rPr>
        <w:t xml:space="preserve"> II:</w:t>
      </w:r>
      <w:r w:rsidR="00BB3E6B">
        <w:rPr>
          <w:lang w:val="hr-HR"/>
        </w:rPr>
        <w:t xml:space="preserve"> Smjer energetske tranzicije</w:t>
      </w:r>
      <w:bookmarkEnd w:id="26"/>
    </w:p>
    <w:p w14:paraId="2F956B09" w14:textId="0D7388D2" w:rsidR="000D00FD" w:rsidRPr="00DD04A7" w:rsidRDefault="000D00FD" w:rsidP="009F6D7B">
      <w:pPr>
        <w:spacing w:line="240" w:lineRule="auto"/>
        <w:rPr>
          <w:i/>
          <w:color w:val="2F5496" w:themeColor="accent1" w:themeShade="BF"/>
          <w:lang w:val="hr-HR"/>
        </w:rPr>
      </w:pPr>
      <w:r w:rsidRPr="00DD04A7">
        <w:rPr>
          <w:i/>
          <w:iCs/>
          <w:color w:val="2F5496"/>
          <w:szCs w:val="20"/>
          <w:lang w:val="hr-HR"/>
        </w:rPr>
        <w:t>Sljedeće ciljevi grafikon</w:t>
      </w:r>
      <w:r w:rsidR="00BB3E6B">
        <w:rPr>
          <w:i/>
          <w:iCs/>
          <w:color w:val="2F5496"/>
          <w:szCs w:val="20"/>
          <w:lang w:val="hr-HR"/>
        </w:rPr>
        <w:t>a</w:t>
      </w:r>
      <w:r w:rsidRPr="00DD04A7">
        <w:rPr>
          <w:i/>
          <w:iCs/>
          <w:color w:val="2F5496"/>
          <w:szCs w:val="20"/>
          <w:lang w:val="hr-HR"/>
        </w:rPr>
        <w:t xml:space="preserve"> vod</w:t>
      </w:r>
      <w:r w:rsidR="00BB3E6B">
        <w:rPr>
          <w:i/>
          <w:iCs/>
          <w:color w:val="2F5496"/>
          <w:szCs w:val="20"/>
          <w:lang w:val="hr-HR"/>
        </w:rPr>
        <w:t>e</w:t>
      </w:r>
      <w:r w:rsidRPr="00DD04A7">
        <w:rPr>
          <w:i/>
          <w:iCs/>
          <w:color w:val="2F5496"/>
          <w:szCs w:val="20"/>
          <w:lang w:val="hr-HR"/>
        </w:rPr>
        <w:t xml:space="preserve"> autore u </w:t>
      </w:r>
      <w:r w:rsidR="00BB3E6B">
        <w:rPr>
          <w:i/>
          <w:iCs/>
          <w:color w:val="2F5496"/>
          <w:szCs w:val="20"/>
          <w:lang w:val="hr-HR"/>
        </w:rPr>
        <w:t xml:space="preserve">smjeru </w:t>
      </w:r>
      <w:r w:rsidRPr="00DD04A7">
        <w:rPr>
          <w:i/>
          <w:iCs/>
          <w:color w:val="2F5496"/>
          <w:szCs w:val="20"/>
          <w:lang w:val="hr-HR"/>
        </w:rPr>
        <w:t>razvoju drugog dijela T</w:t>
      </w:r>
      <w:r w:rsidR="00BB3E6B">
        <w:rPr>
          <w:i/>
          <w:iCs/>
          <w:color w:val="2F5496"/>
          <w:szCs w:val="20"/>
          <w:lang w:val="hr-HR"/>
        </w:rPr>
        <w:t>ranzicijskog plana ka čistoj energiji</w:t>
      </w:r>
      <w:r w:rsidRPr="00DD04A7">
        <w:rPr>
          <w:i/>
          <w:iCs/>
          <w:color w:val="2F5496"/>
          <w:szCs w:val="20"/>
          <w:lang w:val="hr-HR"/>
        </w:rPr>
        <w:t>. Ilustrirani su odjeljci II. Dijela i</w:t>
      </w:r>
      <w:r w:rsidR="00BB3E6B">
        <w:rPr>
          <w:i/>
          <w:iCs/>
          <w:color w:val="2F5496"/>
          <w:szCs w:val="20"/>
          <w:lang w:val="hr-HR"/>
        </w:rPr>
        <w:t xml:space="preserve"> način</w:t>
      </w:r>
      <w:r w:rsidRPr="00DD04A7">
        <w:rPr>
          <w:i/>
          <w:iCs/>
          <w:color w:val="2F5496"/>
          <w:szCs w:val="20"/>
          <w:lang w:val="hr-HR"/>
        </w:rPr>
        <w:t xml:space="preserve"> kako se sadržaj svakog od njih odnosi na ostalo. Slika je dodana kao smjernice u predložak i trebala bi biti uklonjena u konačnoj verziji Programa tranzicije čiste energije vašeg otoka.</w:t>
      </w:r>
    </w:p>
    <w:p w14:paraId="40E83EA2" w14:textId="77777777" w:rsidR="00B36BA0" w:rsidRPr="00DD04A7" w:rsidRDefault="00B36BA0" w:rsidP="005C5A53">
      <w:pPr>
        <w:rPr>
          <w:lang w:val="hr-HR"/>
        </w:rPr>
      </w:pPr>
    </w:p>
    <w:p w14:paraId="1F8268FD" w14:textId="5760AD8F" w:rsidR="00090F32" w:rsidRPr="00DD04A7" w:rsidRDefault="00F4353F" w:rsidP="00090F32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038E051D" wp14:editId="6E65EDCC">
            <wp:extent cx="5501640" cy="54864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24D0F" w14:textId="4475406E" w:rsidR="00090F32" w:rsidRPr="00DD04A7" w:rsidRDefault="00090F32">
      <w:pPr>
        <w:spacing w:line="259" w:lineRule="auto"/>
        <w:jc w:val="left"/>
        <w:rPr>
          <w:lang w:val="hr-HR"/>
        </w:rPr>
      </w:pPr>
      <w:bookmarkStart w:id="27" w:name="_GoBack"/>
      <w:bookmarkEnd w:id="27"/>
      <w:r w:rsidRPr="00DD04A7">
        <w:rPr>
          <w:lang w:val="hr-HR"/>
        </w:rPr>
        <w:br w:type="page"/>
      </w:r>
    </w:p>
    <w:p w14:paraId="61359FD7" w14:textId="77777777" w:rsidR="00090F32" w:rsidRPr="00DD04A7" w:rsidRDefault="00090F32" w:rsidP="005C5A53">
      <w:pPr>
        <w:rPr>
          <w:lang w:val="hr-HR"/>
        </w:rPr>
      </w:pPr>
    </w:p>
    <w:p w14:paraId="3A9E0887" w14:textId="1F9E0399" w:rsidR="007B1CF2" w:rsidRPr="00DD04A7" w:rsidRDefault="007B1CF2" w:rsidP="006E5A84">
      <w:pPr>
        <w:pStyle w:val="Heading2"/>
        <w:numPr>
          <w:ilvl w:val="0"/>
          <w:numId w:val="37"/>
        </w:numPr>
        <w:rPr>
          <w:lang w:val="hr-HR"/>
        </w:rPr>
      </w:pPr>
      <w:bookmarkStart w:id="28" w:name="_Toc2349161"/>
      <w:bookmarkStart w:id="29" w:name="_Toc24015576"/>
      <w:bookmarkStart w:id="30" w:name="_Toc2349160"/>
      <w:r w:rsidRPr="00DD04A7">
        <w:rPr>
          <w:lang w:val="hr-HR"/>
        </w:rPr>
        <w:t>Vi</w:t>
      </w:r>
      <w:bookmarkEnd w:id="28"/>
      <w:bookmarkEnd w:id="29"/>
      <w:r w:rsidR="008B7C78">
        <w:rPr>
          <w:lang w:val="hr-HR"/>
        </w:rPr>
        <w:t>zija</w:t>
      </w:r>
    </w:p>
    <w:p w14:paraId="527BE71F" w14:textId="48D575CC" w:rsidR="000D00FD" w:rsidRPr="00DD04A7" w:rsidRDefault="008B7C78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Vizija Tranzicijskog plana ka čistoj energiji</w:t>
      </w:r>
      <w:r w:rsidR="000D00FD"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ima za cilj uspostaviti zajednički cilj za proces tranzicije. To se najbolje može izraziti kao jedan</w:t>
      </w:r>
      <w:r w:rsidR="000D00FD"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stav</w:t>
      </w:r>
      <w:r w:rsidR="000D00FD"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</w:t>
      </w:r>
      <w:r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koji o</w:t>
      </w:r>
      <w:r w:rsidR="000D00FD"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pisuje kako se </w:t>
      </w:r>
      <w:r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otočni dionici mogu uklopiti i pridonijeti otočnoj viziji kako bi otok trebao izgledati u budućnosti.</w:t>
      </w:r>
      <w:r w:rsidR="000D00FD"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Ova izjava pruža uvid u buduće tranzicijske aktivnosti.</w:t>
      </w:r>
    </w:p>
    <w:p w14:paraId="765E6EF8" w14:textId="2A52BDDF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Vizija se može razviti u 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radionici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 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viziji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u kojoj sudjeluju svi relevantni otočki dionici. </w:t>
      </w:r>
      <w:r w:rsidR="008B7C7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R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adionica može početi </w:t>
      </w:r>
      <w:r w:rsidR="008B7C7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vizijom otoka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u budućnosti i odgovaranje na sljedeća pitanja: Kako će </w:t>
      </w:r>
      <w:r w:rsidR="008B7C7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otok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izgledati u 2030. godini, u 2050. godini? Kako će ljudi živjeti? Kako će se kretati s jednog mjesta na drugo? Itd</w:t>
      </w:r>
    </w:p>
    <w:p w14:paraId="1FD410B7" w14:textId="33E1E517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Više informacija o tome kako razviti neke </w:t>
      </w:r>
      <w:r w:rsidR="008B7C7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od vizija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može</w:t>
      </w:r>
      <w:r w:rsidR="008B7C7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se pro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naći u </w:t>
      </w:r>
      <w:r w:rsidR="008B7C7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Otočkom tranzicijskom priručniku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, Poglavlje 4, „Razvoj </w:t>
      </w:r>
      <w:r w:rsidR="008B7C7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otočke vizije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: ’ Stvaranje </w:t>
      </w:r>
      <w:r w:rsidR="008B7C7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vizije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 ' .</w:t>
      </w:r>
    </w:p>
    <w:p w14:paraId="0E96D5B3" w14:textId="77777777" w:rsidR="000D00FD" w:rsidRPr="00DD04A7" w:rsidRDefault="000D00FD" w:rsidP="008D281C">
      <w:pPr>
        <w:spacing w:line="240" w:lineRule="auto"/>
        <w:rPr>
          <w:b/>
          <w:i/>
          <w:color w:val="2F5496" w:themeColor="accent1" w:themeShade="BF"/>
          <w:szCs w:val="20"/>
          <w:lang w:val="hr-HR"/>
        </w:rPr>
      </w:pPr>
    </w:p>
    <w:p w14:paraId="6CF575AC" w14:textId="77777777" w:rsidR="007B1CF2" w:rsidRPr="00DD04A7" w:rsidRDefault="007B1CF2" w:rsidP="007B1CF2">
      <w:pPr>
        <w:rPr>
          <w:lang w:val="hr-HR"/>
        </w:rPr>
      </w:pPr>
    </w:p>
    <w:p w14:paraId="1FB027FF" w14:textId="77777777" w:rsidR="007B1CF2" w:rsidRPr="00DD04A7" w:rsidRDefault="007B1CF2" w:rsidP="007B1CF2">
      <w:pPr>
        <w:spacing w:line="259" w:lineRule="auto"/>
        <w:jc w:val="left"/>
        <w:rPr>
          <w:lang w:val="hr-HR"/>
        </w:rPr>
      </w:pPr>
      <w:r w:rsidRPr="00DD04A7">
        <w:rPr>
          <w:lang w:val="hr-HR"/>
        </w:rPr>
        <w:br w:type="page"/>
      </w:r>
    </w:p>
    <w:bookmarkEnd w:id="30"/>
    <w:p w14:paraId="7D8A8A5D" w14:textId="39413CE4" w:rsidR="00B631E3" w:rsidRPr="00DD04A7" w:rsidRDefault="008B7C78" w:rsidP="006E5A84">
      <w:pPr>
        <w:pStyle w:val="Heading2"/>
        <w:rPr>
          <w:lang w:val="hr-HR"/>
        </w:rPr>
      </w:pPr>
      <w:r>
        <w:rPr>
          <w:lang w:val="hr-HR"/>
        </w:rPr>
        <w:lastRenderedPageBreak/>
        <w:t>Upravljanje tranzicijom</w:t>
      </w:r>
    </w:p>
    <w:p w14:paraId="7B27C10F" w14:textId="77777777" w:rsidR="00B631E3" w:rsidRPr="00DD04A7" w:rsidRDefault="00B631E3" w:rsidP="002C3BA8">
      <w:pPr>
        <w:jc w:val="left"/>
        <w:rPr>
          <w:lang w:val="hr-HR"/>
        </w:rPr>
      </w:pPr>
    </w:p>
    <w:p w14:paraId="0589A95A" w14:textId="31E1B70C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Dok je odjeljak za dio zainteresiranih strana  namijenjen popisu relevantnih dionika u procesu tranzicije, odjeljak o upravljanju tranzicijom usredotočen je na utvrđivanje ulog</w:t>
      </w:r>
      <w:r w:rsidR="008B7C7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svakog aktera u postizanju vizije čiste energije. Jasna struktura upravljanja ključna je za uspjeh procesa tranzicije.</w:t>
      </w:r>
    </w:p>
    <w:p w14:paraId="0D32A609" w14:textId="77777777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Da biste utvrdili kako će se upravljati procesom tranzicije, potrebno je odgovoriti na sljedeća pitanja:</w:t>
      </w:r>
    </w:p>
    <w:p w14:paraId="6B184D8E" w14:textId="2ED647E6" w:rsidR="000D00FD" w:rsidRPr="00DD04A7" w:rsidRDefault="000D00FD" w:rsidP="000D00FD">
      <w:pPr>
        <w:pStyle w:val="NormalWeb"/>
        <w:spacing w:before="0" w:beforeAutospacing="0" w:after="0"/>
        <w:ind w:left="720" w:hanging="3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Trebuchet MS" w:hAnsi="Trebuchet MS"/>
          <w:color w:val="2F5496"/>
          <w:sz w:val="20"/>
          <w:szCs w:val="20"/>
          <w:lang w:val="hr-HR"/>
        </w:rPr>
        <w:t>- </w:t>
      </w:r>
      <w:r w:rsidR="008B7C7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Koja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je je uloga svakog pojedinog dionika u procesu i što su njihovi resursi i pokretači tranzicije ?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1E6439D3" w14:textId="4AC8542A" w:rsidR="000D00FD" w:rsidRPr="00DD04A7" w:rsidRDefault="000D00FD" w:rsidP="000D00FD">
      <w:pPr>
        <w:pStyle w:val="NormalWeb"/>
        <w:spacing w:before="0" w:beforeAutospacing="0" w:after="0"/>
        <w:ind w:left="720" w:hanging="3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Trebuchet MS" w:hAnsi="Trebuchet MS"/>
          <w:color w:val="2F5496"/>
          <w:sz w:val="20"/>
          <w:szCs w:val="20"/>
          <w:lang w:val="hr-HR"/>
        </w:rPr>
        <w:t>- </w:t>
      </w:r>
      <w:r w:rsidR="008B7C7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Kako pokrenuti interakciju s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 dionicima  i 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potaknuti ih na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suradnju u tranziciji ?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060B033C" w14:textId="07E0C5DF" w:rsidR="000D00FD" w:rsidRPr="00DD04A7" w:rsidRDefault="000D00FD" w:rsidP="000D00FD">
      <w:pPr>
        <w:pStyle w:val="NormalWeb"/>
        <w:spacing w:before="0" w:beforeAutospacing="0" w:after="0"/>
        <w:ind w:left="720" w:hanging="3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Trebuchet MS" w:hAnsi="Trebuchet MS"/>
          <w:color w:val="2F5496"/>
          <w:sz w:val="20"/>
          <w:szCs w:val="20"/>
          <w:lang w:val="hr-HR"/>
        </w:rPr>
        <w:t>-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Kakva je uloga lokalnih vlasti ?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6F87D562" w14:textId="7E724E1E" w:rsidR="000D00FD" w:rsidRPr="00DD04A7" w:rsidRDefault="000D00FD" w:rsidP="000D00FD">
      <w:pPr>
        <w:pStyle w:val="NormalWeb"/>
        <w:spacing w:before="0" w:beforeAutospacing="0" w:after="160"/>
        <w:ind w:left="720" w:hanging="3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Trebuchet MS" w:hAnsi="Trebuchet MS"/>
          <w:color w:val="2F5496"/>
          <w:sz w:val="20"/>
          <w:szCs w:val="20"/>
          <w:lang w:val="hr-HR"/>
        </w:rPr>
        <w:t>- 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Koji su interes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i, motivi i politika raznih interesnih skupina 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koje trebaju biti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usklađen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prema na zajedničkom vison ?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49120078" w14:textId="30EE6C58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Uz 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široku lepezu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pitanja 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prijel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aznog tima 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koje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treba razjasniti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,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rimjer takvog 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pitanja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mogao bi biti : „ Nezavisna platforma koju je postavila općina sa savjetodavnim odborom od strane  zadruga za obnovljive izvore energije “ , „ lokalna trgovačka komora “ , itd.</w:t>
      </w:r>
    </w:p>
    <w:p w14:paraId="52A8DCC6" w14:textId="03DA2484" w:rsidR="000D00FD" w:rsidRPr="00DD04A7" w:rsidRDefault="000D00FD" w:rsidP="000D00FD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Više informacija o tome kako razviti otočki čist energetski </w:t>
      </w:r>
      <w:r w:rsidR="000E36FB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pogled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možete pronaći u Priručniku za čistu energiju na otoku, Poglavlje 4, "Razvoj otočke vizije".</w:t>
      </w:r>
    </w:p>
    <w:p w14:paraId="3F266139" w14:textId="2A4C3D77" w:rsidR="00106D24" w:rsidRPr="00DD04A7" w:rsidRDefault="00106D24">
      <w:pPr>
        <w:spacing w:line="259" w:lineRule="auto"/>
        <w:jc w:val="left"/>
        <w:rPr>
          <w:lang w:val="hr-HR"/>
        </w:rPr>
      </w:pPr>
      <w:r w:rsidRPr="00DD04A7">
        <w:rPr>
          <w:lang w:val="hr-HR"/>
        </w:rPr>
        <w:br w:type="page"/>
      </w:r>
    </w:p>
    <w:p w14:paraId="49DECDE1" w14:textId="4111908B" w:rsidR="00B342FA" w:rsidRPr="00DD04A7" w:rsidRDefault="000E36FB" w:rsidP="006E5A84">
      <w:pPr>
        <w:pStyle w:val="Heading2"/>
        <w:rPr>
          <w:lang w:val="hr-HR"/>
        </w:rPr>
      </w:pPr>
      <w:r>
        <w:rPr>
          <w:lang w:val="hr-HR"/>
        </w:rPr>
        <w:lastRenderedPageBreak/>
        <w:t>Smjerovi</w:t>
      </w:r>
    </w:p>
    <w:p w14:paraId="34981F69" w14:textId="58805235" w:rsidR="000D00FD" w:rsidRPr="00DD04A7" w:rsidRDefault="000D00FD" w:rsidP="000D00FD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Nakon što je postavljena vizija za otok, prijelazni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smjerovi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i omoguć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avaju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vizualizaciju potencijalnih staza prijelaza iz trenutne situacije u željenu budućnost . Ti će se putevi temeljiti na mogućim rješenjima, primjerice zamjeni fosilnog goriva obnovljivom proizvodnjom ili promicanju čistog prijevoza . Do spajanja mogućih rješenja i izgradnja putova, prijelaz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ni tim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 može utvrditi sinergije i </w:t>
      </w:r>
      <w:r w:rsidR="000E36FB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djelovati 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izvan ograničenja i barijera.</w:t>
      </w:r>
    </w:p>
    <w:p w14:paraId="4AF9CDAB" w14:textId="39CB3161" w:rsidR="000D00FD" w:rsidRPr="00DD04A7" w:rsidRDefault="000D00FD" w:rsidP="000D00FD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Više informacija o tome kako izgraditi </w:t>
      </w:r>
      <w:r w:rsidR="000E36FB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različite smjerove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možete pronaći u Priručniku za tranziciju otoka čiste energije, Poglavlje 5 'Istraživanje </w:t>
      </w:r>
      <w:r w:rsidR="000E36FB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smjerova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prijelaza otoka', odjeljak 'Put prijelaza vašeg otoka'.</w:t>
      </w:r>
    </w:p>
    <w:p w14:paraId="60FCA97B" w14:textId="77777777" w:rsidR="000D00FD" w:rsidRPr="00DD04A7" w:rsidRDefault="000D00FD" w:rsidP="0023250B">
      <w:pPr>
        <w:rPr>
          <w:b/>
          <w:i/>
          <w:color w:val="2F5496" w:themeColor="accent1" w:themeShade="BF"/>
          <w:szCs w:val="20"/>
          <w:lang w:val="hr-HR"/>
        </w:rPr>
      </w:pPr>
    </w:p>
    <w:p w14:paraId="331B4B44" w14:textId="49B5EB1E" w:rsidR="00B342FA" w:rsidRPr="00DD04A7" w:rsidRDefault="00B342FA">
      <w:pPr>
        <w:spacing w:line="259" w:lineRule="auto"/>
        <w:jc w:val="left"/>
        <w:rPr>
          <w:lang w:val="hr-HR"/>
        </w:rPr>
      </w:pPr>
      <w:r w:rsidRPr="00DD04A7">
        <w:rPr>
          <w:lang w:val="hr-HR"/>
        </w:rPr>
        <w:br w:type="page"/>
      </w:r>
    </w:p>
    <w:p w14:paraId="7EBF8053" w14:textId="3496334A" w:rsidR="005B5CFB" w:rsidRPr="00DD04A7" w:rsidRDefault="000E36FB" w:rsidP="00176B72">
      <w:pPr>
        <w:pStyle w:val="Heading2"/>
        <w:rPr>
          <w:lang w:val="hr-HR"/>
        </w:rPr>
      </w:pPr>
      <w:r>
        <w:rPr>
          <w:lang w:val="hr-HR"/>
        </w:rPr>
        <w:lastRenderedPageBreak/>
        <w:t>Stupovi energetske tranzicije</w:t>
      </w:r>
    </w:p>
    <w:p w14:paraId="35D6C408" w14:textId="48800665" w:rsidR="000D00FD" w:rsidRPr="00DD04A7" w:rsidRDefault="000E36FB" w:rsidP="000D00FD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bookmarkStart w:id="31" w:name="_Toc2349170"/>
      <w:r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S</w:t>
      </w:r>
      <w:r w:rsidR="000D00FD"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t</w:t>
      </w:r>
      <w:r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up</w:t>
      </w:r>
      <w:r w:rsidR="000D00FD"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ovi izgrađeni za ostvarenje vizije iz trenutne situacije zasnivaju se ili ovise o specifičnijim rješenjima (na primjer, planira se proizvodnja fosilnih goriva zamijeniti obnovljivom energijom, odnosno solarnom i vjetrovnom). U ovom se trenutku rješenja trebaju razvrstati prema stupovima energetskog prijelaza . Slijedom energetskih vektora koji su predloženi u odjeljku Opis energetskog sustava, Tajništvo preporučuje korištenje sljedećih stupova:</w:t>
      </w:r>
    </w:p>
    <w:p w14:paraId="0B2B422C" w14:textId="77777777" w:rsidR="000D00FD" w:rsidRPr="00DD04A7" w:rsidRDefault="000D00FD" w:rsidP="000D00FD">
      <w:pPr>
        <w:pStyle w:val="NormalWeb"/>
        <w:spacing w:before="0" w:beforeAutospacing="0" w:after="0" w:line="230" w:lineRule="atLeast"/>
        <w:ind w:left="720" w:hanging="360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Trebuchet MS" w:hAnsi="Trebuchet MS"/>
          <w:color w:val="2F5496"/>
          <w:sz w:val="20"/>
          <w:szCs w:val="20"/>
          <w:lang w:val="hr-HR"/>
        </w:rPr>
        <w:t>- Proizvodnja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električne energije,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15964E9B" w14:textId="77777777" w:rsidR="000D00FD" w:rsidRPr="00DD04A7" w:rsidRDefault="000D00FD" w:rsidP="000D00FD">
      <w:pPr>
        <w:pStyle w:val="NormalWeb"/>
        <w:spacing w:before="0" w:beforeAutospacing="0" w:after="0" w:line="230" w:lineRule="atLeast"/>
        <w:ind w:left="720" w:hanging="360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Trebuchet MS" w:hAnsi="Trebuchet MS"/>
          <w:color w:val="2F5496"/>
          <w:sz w:val="20"/>
          <w:szCs w:val="20"/>
          <w:lang w:val="hr-HR"/>
        </w:rPr>
        <w:t>-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grijanje i hlađenje,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425241C3" w14:textId="77777777" w:rsidR="000D00FD" w:rsidRPr="00DD04A7" w:rsidRDefault="000D00FD" w:rsidP="000D00FD">
      <w:pPr>
        <w:pStyle w:val="NormalWeb"/>
        <w:spacing w:before="0" w:beforeAutospacing="0" w:after="0" w:line="230" w:lineRule="atLeast"/>
        <w:ind w:left="720" w:hanging="360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Trebuchet MS" w:hAnsi="Trebuchet MS"/>
          <w:color w:val="2F5496"/>
          <w:sz w:val="20"/>
          <w:szCs w:val="20"/>
          <w:lang w:val="hr-HR"/>
        </w:rPr>
        <w:t>-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prijevoz na otoku,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68B1AB2E" w14:textId="77777777" w:rsidR="000D00FD" w:rsidRPr="00DD04A7" w:rsidRDefault="000D00FD" w:rsidP="000D00FD">
      <w:pPr>
        <w:pStyle w:val="NormalWeb"/>
        <w:spacing w:before="0" w:beforeAutospacing="0" w:after="160" w:line="230" w:lineRule="atLeast"/>
        <w:ind w:left="720" w:hanging="360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Trebuchet MS" w:hAnsi="Trebuchet MS"/>
          <w:color w:val="2F5496"/>
          <w:sz w:val="20"/>
          <w:szCs w:val="20"/>
          <w:lang w:val="hr-HR"/>
        </w:rPr>
        <w:t>-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Prijevoz do i s otoka.</w:t>
      </w:r>
      <w:r w:rsidRPr="00DD04A7">
        <w:rPr>
          <w:color w:val="000000"/>
          <w:sz w:val="14"/>
          <w:szCs w:val="14"/>
          <w:lang w:val="hr-HR"/>
        </w:rPr>
        <w:t>         </w:t>
      </w:r>
    </w:p>
    <w:p w14:paraId="0300FFA5" w14:textId="77777777" w:rsidR="000D00FD" w:rsidRPr="00DD04A7" w:rsidRDefault="000D00FD" w:rsidP="000D00FD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Nakon klasificiranja, rješenja se mogu dalje razvijati u dijelu stupova. Slijedom gore navedenog primjera, u ovom trenutku mogu se dalje objasniti predloženi vremenski rokovi, kapaciteti, organizacijske strukture itd. Za predviđene projekte vjetra i sunca.</w:t>
      </w:r>
    </w:p>
    <w:p w14:paraId="585C210D" w14:textId="77777777" w:rsidR="000D00FD" w:rsidRPr="00DD04A7" w:rsidRDefault="000D00FD" w:rsidP="000D00FD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Otoci koji imaju tekući postupak planiranja koji identificiraju druge stupove (npr. Po sektorima) možete ih koristiti sve dok su svi gornji stupovi pokriveni . Otoci su pozvani da uključe dodatne stupove, poput smanjenja potražnje i energetske učinkovitosti, u skladu s lokalnim kontekstom.</w:t>
      </w:r>
    </w:p>
    <w:p w14:paraId="616CCDD5" w14:textId="5D5E03A0" w:rsidR="000D00FD" w:rsidRPr="00DD04A7" w:rsidRDefault="000D00FD" w:rsidP="000D00FD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Za svaki od stupova, jedan 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opći cilj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je identificiran . Nakon toga, jedan ili više 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strate</w:t>
      </w:r>
      <w:r w:rsidR="00B70B3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ških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godina 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kako bi se postig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ao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cilj može biti navedeno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: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Slijedi izravne 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  akcije 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koje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treba poduzeti da se krene naprijed .</w:t>
      </w:r>
    </w:p>
    <w:p w14:paraId="26215A9E" w14:textId="4AD653ED" w:rsidR="000D00FD" w:rsidRPr="00DD04A7" w:rsidRDefault="000D00FD" w:rsidP="000D00FD">
      <w:pPr>
        <w:pStyle w:val="NormalWeb"/>
        <w:spacing w:before="0" w:beforeAutospacing="0" w:after="160" w:line="230" w:lineRule="atLeast"/>
        <w:jc w:val="both"/>
        <w:rPr>
          <w:color w:val="000000"/>
          <w:sz w:val="20"/>
          <w:szCs w:val="20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Više informacija o tome kako razviti čistu energiju</w:t>
      </w:r>
      <w:r w:rsidR="00B70B3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i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prijelazne stupove mogu se </w:t>
      </w:r>
      <w:r w:rsidR="00B70B3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pro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naći u </w:t>
      </w:r>
      <w:r w:rsidR="00B70B3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Otočnom tranzicijskom priručniku,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 Poglavlje 5 „Istražujući </w:t>
      </w:r>
      <w:r w:rsidR="00B70B3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otočne 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tranzicij</w:t>
      </w:r>
      <w:r w:rsidR="00B70B3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ske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</w:t>
      </w:r>
      <w:r w:rsidR="00B70B3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smjerove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, a izbacivanja ” stupova energetske tranzicije ' .</w:t>
      </w:r>
    </w:p>
    <w:p w14:paraId="05ED0FEC" w14:textId="0E1B14AA" w:rsidR="00106D24" w:rsidRPr="00DD04A7" w:rsidRDefault="00757416" w:rsidP="00757416">
      <w:pPr>
        <w:spacing w:line="259" w:lineRule="auto"/>
        <w:jc w:val="left"/>
        <w:rPr>
          <w:i/>
          <w:color w:val="44546A" w:themeColor="text2"/>
          <w:szCs w:val="20"/>
          <w:lang w:val="hr-HR"/>
        </w:rPr>
      </w:pPr>
      <w:r w:rsidRPr="00DD04A7">
        <w:rPr>
          <w:i/>
          <w:color w:val="44546A" w:themeColor="text2"/>
          <w:szCs w:val="20"/>
          <w:lang w:val="hr-HR"/>
        </w:rPr>
        <w:br w:type="page"/>
      </w:r>
    </w:p>
    <w:bookmarkEnd w:id="31"/>
    <w:p w14:paraId="66647419" w14:textId="4C4766CE" w:rsidR="00B631E3" w:rsidRPr="00DD04A7" w:rsidRDefault="00B70B38" w:rsidP="006E5A84">
      <w:pPr>
        <w:pStyle w:val="Heading2"/>
        <w:rPr>
          <w:lang w:val="hr-HR"/>
        </w:rPr>
      </w:pPr>
      <w:r>
        <w:rPr>
          <w:lang w:val="hr-HR"/>
        </w:rPr>
        <w:lastRenderedPageBreak/>
        <w:t>Praćenje provedbe i diseminacija podataka</w:t>
      </w:r>
    </w:p>
    <w:p w14:paraId="60D7170B" w14:textId="67A1C811" w:rsidR="00E27FA7" w:rsidRPr="00DD04A7" w:rsidRDefault="00E27FA7" w:rsidP="00E27FA7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bookmarkStart w:id="32" w:name="_Toc2349175"/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Praćenje je važan dio proces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tranzicije. 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P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roces tranzicije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, u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koliko se prati i ocjenjuje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, c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ilj je generirati povratne informacije na temelju izmjerenih rezultata što omogućava poboljšanje procesa tranzicije dok traje .</w:t>
      </w:r>
    </w:p>
    <w:p w14:paraId="369BE1A8" w14:textId="4AF0E2A0" w:rsidR="00E27FA7" w:rsidRPr="00DD04A7" w:rsidRDefault="00B70B38" w:rsidP="00E27FA7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Tranzicijski plan ka čistoj energiji ne može biti statički dokument, već onaj koji se revidira i kroz periodičko izvještavanje će se pristupati prilagodbama.</w:t>
      </w:r>
    </w:p>
    <w:p w14:paraId="152CB51D" w14:textId="7F5B97FA" w:rsidR="00E27FA7" w:rsidRPr="00DD04A7" w:rsidRDefault="00E27FA7" w:rsidP="00E27FA7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Matrica samovrednovanje je dostup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na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na : </w:t>
      </w:r>
      <w:hyperlink r:id="rId21" w:history="1">
        <w:r w:rsidRPr="00DD04A7">
          <w:rPr>
            <w:rStyle w:val="Hyperlink"/>
            <w:rFonts w:ascii="Century Gothic" w:hAnsi="Century Gothic"/>
            <w:i/>
            <w:iCs/>
            <w:color w:val="034990"/>
            <w:sz w:val="20"/>
            <w:szCs w:val="20"/>
            <w:lang w:val="hr-HR"/>
          </w:rPr>
          <w:t>https://euislands.eu/transition-indicator</w:t>
        </w:r>
      </w:hyperlink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 . Zajedno s video objašnjavajući kako ga popuniti rezultatima matrice samoprocjene, zajedno s obrazloženjem o razlozima za svak</w:t>
      </w:r>
      <w:r w:rsidR="00B70B38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>i</w:t>
      </w:r>
      <w:r w:rsidRPr="00DD04A7">
        <w:rPr>
          <w:rFonts w:ascii="Century Gothic" w:hAnsi="Century Gothic"/>
          <w:i/>
          <w:iCs/>
          <w:color w:val="2F5496"/>
          <w:sz w:val="20"/>
          <w:szCs w:val="20"/>
          <w:lang w:val="hr-HR"/>
        </w:rPr>
        <w:t xml:space="preserve"> rezultat, treba sažeti u ovom dijelu dnevnog reda. Samoocjenjivanje treba provoditi najmanje dva puta godišnje , a evolucija rezultata može se ažurirati u sljedećim verzijama Prijelazne agende.</w:t>
      </w:r>
    </w:p>
    <w:p w14:paraId="6F2CCD28" w14:textId="3311DCE8" w:rsidR="00E27FA7" w:rsidRPr="00DD04A7" w:rsidRDefault="00E27FA7" w:rsidP="00E27FA7">
      <w:pPr>
        <w:pStyle w:val="NormalWeb"/>
        <w:spacing w:before="0" w:beforeAutospacing="0" w:after="160"/>
        <w:jc w:val="both"/>
        <w:rPr>
          <w:color w:val="000000"/>
          <w:sz w:val="27"/>
          <w:szCs w:val="27"/>
          <w:lang w:val="hr-HR"/>
        </w:rPr>
      </w:pP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Više informacija o tome kako pratiti prijelazni proces može se naći u</w:t>
      </w:r>
      <w:r w:rsidR="00B70B38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 xml:space="preserve"> Otočnom tranzicijskom priručniku,</w:t>
      </w:r>
      <w:r w:rsidRPr="00DD04A7">
        <w:rPr>
          <w:rFonts w:ascii="Century Gothic" w:hAnsi="Century Gothic"/>
          <w:b/>
          <w:bCs/>
          <w:i/>
          <w:iCs/>
          <w:color w:val="2F5496"/>
          <w:sz w:val="20"/>
          <w:szCs w:val="20"/>
          <w:lang w:val="hr-HR"/>
        </w:rPr>
        <w:t> POGLAVLJE 5: Praćenje tranzicije.</w:t>
      </w:r>
    </w:p>
    <w:p w14:paraId="65FFFA9C" w14:textId="77777777" w:rsidR="00E27FA7" w:rsidRPr="00DD04A7" w:rsidRDefault="00E27FA7" w:rsidP="002444C4">
      <w:pPr>
        <w:spacing w:line="240" w:lineRule="auto"/>
        <w:rPr>
          <w:b/>
          <w:i/>
          <w:color w:val="2F5496" w:themeColor="accent1" w:themeShade="BF"/>
          <w:szCs w:val="20"/>
          <w:lang w:val="hr-HR"/>
        </w:rPr>
      </w:pPr>
    </w:p>
    <w:p w14:paraId="0D0A64A0" w14:textId="5BC45E43" w:rsidR="0082642C" w:rsidRPr="00DD04A7" w:rsidRDefault="0082642C" w:rsidP="002444C4">
      <w:pPr>
        <w:spacing w:line="240" w:lineRule="auto"/>
        <w:rPr>
          <w:b/>
          <w:i/>
          <w:color w:val="2F5496" w:themeColor="accent1" w:themeShade="BF"/>
          <w:szCs w:val="20"/>
          <w:lang w:val="hr-HR"/>
        </w:rPr>
      </w:pPr>
    </w:p>
    <w:p w14:paraId="705B82B1" w14:textId="513AE196" w:rsidR="0082642C" w:rsidRPr="00DD04A7" w:rsidRDefault="00B70B38" w:rsidP="004F3E02">
      <w:pPr>
        <w:spacing w:after="0"/>
        <w:rPr>
          <w:b/>
          <w:sz w:val="22"/>
          <w:lang w:val="hr-HR"/>
        </w:rPr>
      </w:pPr>
      <w:bookmarkStart w:id="33" w:name="_Toc12885827"/>
      <w:r>
        <w:rPr>
          <w:b/>
          <w:sz w:val="22"/>
          <w:lang w:val="hr-HR"/>
        </w:rPr>
        <w:t>Pokazatelj</w:t>
      </w:r>
      <w:r w:rsidR="0082642C" w:rsidRPr="00DD04A7">
        <w:rPr>
          <w:b/>
          <w:sz w:val="22"/>
          <w:lang w:val="hr-HR"/>
        </w:rPr>
        <w:t xml:space="preserve"> 1: </w:t>
      </w:r>
      <w:r w:rsidR="006652BE">
        <w:rPr>
          <w:b/>
          <w:sz w:val="22"/>
          <w:lang w:val="hr-HR"/>
        </w:rPr>
        <w:t>Tranzicijski plan ka čistoj energiji</w:t>
      </w:r>
      <w:bookmarkEnd w:id="33"/>
    </w:p>
    <w:p w14:paraId="01B1A8FB" w14:textId="79C903DD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17AC4F39" w14:textId="0E1E4E50" w:rsidR="0082642C" w:rsidRPr="00DD04A7" w:rsidRDefault="0082642C" w:rsidP="0082642C">
      <w:pPr>
        <w:ind w:left="708"/>
        <w:rPr>
          <w:szCs w:val="20"/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4867ED5D" w14:textId="356E94EF" w:rsidR="0082642C" w:rsidRPr="00DD04A7" w:rsidRDefault="006652BE" w:rsidP="004F3E02">
      <w:pPr>
        <w:spacing w:after="0"/>
        <w:rPr>
          <w:b/>
          <w:sz w:val="22"/>
          <w:lang w:val="hr-HR"/>
        </w:rPr>
      </w:pPr>
      <w:bookmarkStart w:id="34" w:name="_Toc12885828"/>
      <w:r>
        <w:rPr>
          <w:b/>
          <w:sz w:val="22"/>
          <w:lang w:val="hr-HR"/>
        </w:rPr>
        <w:t>Pokazatelj</w:t>
      </w:r>
      <w:r w:rsidR="0082642C" w:rsidRPr="00DD04A7">
        <w:rPr>
          <w:b/>
          <w:sz w:val="22"/>
          <w:lang w:val="hr-HR"/>
        </w:rPr>
        <w:t xml:space="preserve"> 2: Vi</w:t>
      </w:r>
      <w:r>
        <w:rPr>
          <w:b/>
          <w:sz w:val="22"/>
          <w:lang w:val="hr-HR"/>
        </w:rPr>
        <w:t>zija</w:t>
      </w:r>
      <w:bookmarkEnd w:id="34"/>
      <w:r w:rsidR="0082642C" w:rsidRPr="00DD04A7">
        <w:rPr>
          <w:b/>
          <w:sz w:val="22"/>
          <w:lang w:val="hr-HR"/>
        </w:rPr>
        <w:t xml:space="preserve"> </w:t>
      </w:r>
    </w:p>
    <w:p w14:paraId="5609E758" w14:textId="63E9B8D2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54FCFDA6" w14:textId="7EADF97A" w:rsidR="0082642C" w:rsidRPr="00DD04A7" w:rsidRDefault="0082642C" w:rsidP="0082642C">
      <w:pPr>
        <w:ind w:firstLine="720"/>
        <w:rPr>
          <w:b/>
          <w:szCs w:val="20"/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089BAB9D" w14:textId="3E62F0FB" w:rsidR="0082642C" w:rsidRPr="00DD04A7" w:rsidRDefault="006652BE" w:rsidP="004F3E02">
      <w:pPr>
        <w:spacing w:after="0"/>
        <w:rPr>
          <w:b/>
          <w:sz w:val="22"/>
          <w:lang w:val="hr-HR"/>
        </w:rPr>
      </w:pPr>
      <w:bookmarkStart w:id="35" w:name="_Toc12885829"/>
      <w:r>
        <w:rPr>
          <w:b/>
          <w:sz w:val="22"/>
          <w:lang w:val="hr-HR"/>
        </w:rPr>
        <w:t>Pokazatelj</w:t>
      </w:r>
      <w:r w:rsidR="0082642C" w:rsidRPr="00DD04A7">
        <w:rPr>
          <w:b/>
          <w:sz w:val="22"/>
          <w:lang w:val="hr-HR"/>
        </w:rPr>
        <w:t xml:space="preserve"> 3: </w:t>
      </w:r>
      <w:r>
        <w:rPr>
          <w:b/>
          <w:sz w:val="22"/>
          <w:lang w:val="hr-HR"/>
        </w:rPr>
        <w:t>Zajednica</w:t>
      </w:r>
      <w:r w:rsidR="0082642C" w:rsidRPr="00DD04A7">
        <w:rPr>
          <w:b/>
          <w:sz w:val="22"/>
          <w:lang w:val="hr-HR"/>
        </w:rPr>
        <w:t xml:space="preserve"> – </w:t>
      </w:r>
      <w:r>
        <w:rPr>
          <w:b/>
          <w:sz w:val="22"/>
          <w:lang w:val="hr-HR"/>
        </w:rPr>
        <w:t>Dionici</w:t>
      </w:r>
      <w:bookmarkEnd w:id="35"/>
    </w:p>
    <w:p w14:paraId="57136580" w14:textId="5A632C86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1E29B392" w14:textId="319F9478" w:rsidR="0082642C" w:rsidRPr="00DD04A7" w:rsidRDefault="0082642C" w:rsidP="0082642C">
      <w:pPr>
        <w:ind w:firstLine="720"/>
        <w:rPr>
          <w:b/>
          <w:szCs w:val="20"/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40DABA3C" w14:textId="62943733" w:rsidR="0082642C" w:rsidRPr="00DD04A7" w:rsidRDefault="006652BE" w:rsidP="004F3E02">
      <w:pPr>
        <w:spacing w:after="0"/>
        <w:rPr>
          <w:b/>
          <w:sz w:val="22"/>
          <w:lang w:val="hr-HR"/>
        </w:rPr>
      </w:pPr>
      <w:bookmarkStart w:id="36" w:name="_Toc12885830"/>
      <w:r>
        <w:rPr>
          <w:b/>
          <w:sz w:val="22"/>
          <w:lang w:val="hr-HR"/>
        </w:rPr>
        <w:t>Pokazatelj</w:t>
      </w:r>
      <w:r w:rsidR="0082642C" w:rsidRPr="00DD04A7">
        <w:rPr>
          <w:b/>
          <w:sz w:val="22"/>
          <w:lang w:val="hr-HR"/>
        </w:rPr>
        <w:t xml:space="preserve"> 4: </w:t>
      </w:r>
      <w:r>
        <w:rPr>
          <w:b/>
          <w:sz w:val="22"/>
          <w:lang w:val="hr-HR"/>
        </w:rPr>
        <w:t>Zajednica</w:t>
      </w:r>
      <w:r w:rsidR="0082642C" w:rsidRPr="00DD04A7">
        <w:rPr>
          <w:b/>
          <w:sz w:val="22"/>
          <w:lang w:val="hr-HR"/>
        </w:rPr>
        <w:t xml:space="preserve"> – Organi</w:t>
      </w:r>
      <w:r>
        <w:rPr>
          <w:b/>
          <w:sz w:val="22"/>
          <w:lang w:val="hr-HR"/>
        </w:rPr>
        <w:t>zacije</w:t>
      </w:r>
      <w:bookmarkEnd w:id="36"/>
      <w:r w:rsidR="0082642C" w:rsidRPr="00DD04A7">
        <w:rPr>
          <w:b/>
          <w:sz w:val="22"/>
          <w:lang w:val="hr-HR"/>
        </w:rPr>
        <w:t xml:space="preserve">  </w:t>
      </w:r>
    </w:p>
    <w:p w14:paraId="2227739A" w14:textId="13EA9D4E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5E8AB2AF" w14:textId="6408E027" w:rsidR="0082642C" w:rsidRPr="00DD04A7" w:rsidRDefault="0082642C" w:rsidP="0082642C">
      <w:pPr>
        <w:ind w:left="708"/>
        <w:rPr>
          <w:szCs w:val="20"/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09F5D851" w14:textId="59EE700E" w:rsidR="0082642C" w:rsidRPr="00DD04A7" w:rsidRDefault="006652BE" w:rsidP="004F3E02">
      <w:pPr>
        <w:spacing w:after="0"/>
        <w:rPr>
          <w:b/>
          <w:sz w:val="22"/>
          <w:lang w:val="hr-HR"/>
        </w:rPr>
      </w:pPr>
      <w:bookmarkStart w:id="37" w:name="_Toc12885831"/>
      <w:r>
        <w:rPr>
          <w:b/>
          <w:sz w:val="22"/>
          <w:lang w:val="hr-HR"/>
        </w:rPr>
        <w:t>Pokazatelj</w:t>
      </w:r>
      <w:r w:rsidR="0082642C" w:rsidRPr="00DD04A7">
        <w:rPr>
          <w:b/>
          <w:sz w:val="22"/>
          <w:lang w:val="hr-HR"/>
        </w:rPr>
        <w:t xml:space="preserve"> 5: Financi</w:t>
      </w:r>
      <w:r>
        <w:rPr>
          <w:b/>
          <w:sz w:val="22"/>
          <w:lang w:val="hr-HR"/>
        </w:rPr>
        <w:t>jski koncept</w:t>
      </w:r>
      <w:bookmarkEnd w:id="37"/>
      <w:r w:rsidR="0082642C" w:rsidRPr="00DD04A7">
        <w:rPr>
          <w:b/>
          <w:sz w:val="22"/>
          <w:lang w:val="hr-HR"/>
        </w:rPr>
        <w:t xml:space="preserve"> </w:t>
      </w:r>
    </w:p>
    <w:p w14:paraId="37784EC1" w14:textId="23813E5A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1D7205DA" w14:textId="05A44158" w:rsidR="0082642C" w:rsidRPr="00DD04A7" w:rsidRDefault="0082642C" w:rsidP="0082642C">
      <w:pPr>
        <w:ind w:firstLine="720"/>
        <w:rPr>
          <w:szCs w:val="20"/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3A573777" w14:textId="7095A183" w:rsidR="0082642C" w:rsidRPr="00DD04A7" w:rsidRDefault="006652BE" w:rsidP="004F3E02">
      <w:pPr>
        <w:spacing w:after="0"/>
        <w:rPr>
          <w:b/>
          <w:sz w:val="22"/>
          <w:lang w:val="hr-HR"/>
        </w:rPr>
      </w:pPr>
      <w:bookmarkStart w:id="38" w:name="_Toc12885833"/>
      <w:r>
        <w:rPr>
          <w:b/>
          <w:sz w:val="22"/>
          <w:lang w:val="hr-HR"/>
        </w:rPr>
        <w:t>Pokazatelj</w:t>
      </w:r>
      <w:r w:rsidR="0082642C" w:rsidRPr="00DD04A7">
        <w:rPr>
          <w:b/>
          <w:sz w:val="22"/>
          <w:lang w:val="hr-HR"/>
        </w:rPr>
        <w:t xml:space="preserve"> 6: De</w:t>
      </w:r>
      <w:r>
        <w:rPr>
          <w:b/>
          <w:sz w:val="22"/>
          <w:lang w:val="hr-HR"/>
        </w:rPr>
        <w:t>karbonizacijski</w:t>
      </w:r>
      <w:r w:rsidR="0082642C" w:rsidRPr="00DD04A7">
        <w:rPr>
          <w:b/>
          <w:sz w:val="22"/>
          <w:lang w:val="hr-HR"/>
        </w:rPr>
        <w:t xml:space="preserve"> plan – </w:t>
      </w:r>
      <w:r>
        <w:rPr>
          <w:b/>
          <w:sz w:val="22"/>
          <w:lang w:val="hr-HR"/>
        </w:rPr>
        <w:t>Otočno trenutno stanje</w:t>
      </w:r>
      <w:bookmarkEnd w:id="38"/>
      <w:r w:rsidR="0082642C" w:rsidRPr="00DD04A7">
        <w:rPr>
          <w:b/>
          <w:sz w:val="22"/>
          <w:lang w:val="hr-HR"/>
        </w:rPr>
        <w:t xml:space="preserve"> </w:t>
      </w:r>
    </w:p>
    <w:p w14:paraId="3EF79DB5" w14:textId="4431C39D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3C69FB8D" w14:textId="464FA7FE" w:rsidR="0082642C" w:rsidRPr="00DD04A7" w:rsidRDefault="0082642C" w:rsidP="0082642C">
      <w:pPr>
        <w:ind w:left="708"/>
        <w:rPr>
          <w:szCs w:val="20"/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2BA46A75" w14:textId="77777777" w:rsidR="004F3E02" w:rsidRPr="00DD04A7" w:rsidRDefault="004F3E02" w:rsidP="0082642C">
      <w:pPr>
        <w:ind w:left="708"/>
        <w:rPr>
          <w:szCs w:val="20"/>
          <w:lang w:val="hr-HR"/>
        </w:rPr>
      </w:pPr>
    </w:p>
    <w:p w14:paraId="48E41F0C" w14:textId="287B80F4" w:rsidR="0082642C" w:rsidRPr="00DD04A7" w:rsidRDefault="006652BE" w:rsidP="004F3E02">
      <w:pPr>
        <w:spacing w:after="0"/>
        <w:rPr>
          <w:b/>
          <w:sz w:val="22"/>
          <w:lang w:val="hr-HR"/>
        </w:rPr>
      </w:pPr>
      <w:bookmarkStart w:id="39" w:name="_Toc12885832"/>
      <w:r>
        <w:rPr>
          <w:b/>
          <w:sz w:val="22"/>
          <w:lang w:val="hr-HR"/>
        </w:rPr>
        <w:lastRenderedPageBreak/>
        <w:t>Pokazatelj</w:t>
      </w:r>
      <w:r w:rsidR="0082642C" w:rsidRPr="00DD04A7">
        <w:rPr>
          <w:b/>
          <w:sz w:val="22"/>
          <w:lang w:val="hr-HR"/>
        </w:rPr>
        <w:t xml:space="preserve"> 7: De</w:t>
      </w:r>
      <w:r>
        <w:rPr>
          <w:b/>
          <w:sz w:val="22"/>
          <w:lang w:val="hr-HR"/>
        </w:rPr>
        <w:t>k</w:t>
      </w:r>
      <w:r w:rsidR="0082642C" w:rsidRPr="00DD04A7">
        <w:rPr>
          <w:b/>
          <w:sz w:val="22"/>
          <w:lang w:val="hr-HR"/>
        </w:rPr>
        <w:t>arboni</w:t>
      </w:r>
      <w:r>
        <w:rPr>
          <w:b/>
          <w:sz w:val="22"/>
          <w:lang w:val="hr-HR"/>
        </w:rPr>
        <w:t>zacijski</w:t>
      </w:r>
      <w:r w:rsidR="0082642C" w:rsidRPr="00DD04A7">
        <w:rPr>
          <w:b/>
          <w:sz w:val="22"/>
          <w:lang w:val="hr-HR"/>
        </w:rPr>
        <w:t xml:space="preserve"> plan – </w:t>
      </w:r>
      <w:r>
        <w:rPr>
          <w:b/>
          <w:sz w:val="22"/>
          <w:lang w:val="hr-HR"/>
        </w:rPr>
        <w:t>Podatci</w:t>
      </w:r>
      <w:bookmarkEnd w:id="39"/>
      <w:r w:rsidR="0082642C" w:rsidRPr="00DD04A7">
        <w:rPr>
          <w:b/>
          <w:sz w:val="22"/>
          <w:lang w:val="hr-HR"/>
        </w:rPr>
        <w:t xml:space="preserve"> </w:t>
      </w:r>
    </w:p>
    <w:p w14:paraId="7287EC7E" w14:textId="2052DC0B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63889582" w14:textId="6A5A45A0" w:rsidR="0082642C" w:rsidRPr="00DD04A7" w:rsidRDefault="0082642C" w:rsidP="0082642C">
      <w:pPr>
        <w:ind w:left="708"/>
        <w:rPr>
          <w:szCs w:val="20"/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09DC8042" w14:textId="60E491BD" w:rsidR="0082642C" w:rsidRPr="00DD04A7" w:rsidRDefault="006652BE" w:rsidP="004F3E02">
      <w:pPr>
        <w:spacing w:after="0"/>
        <w:rPr>
          <w:b/>
          <w:sz w:val="22"/>
          <w:lang w:val="hr-HR"/>
        </w:rPr>
      </w:pPr>
      <w:bookmarkStart w:id="40" w:name="_Toc12885834"/>
      <w:r>
        <w:rPr>
          <w:b/>
          <w:sz w:val="22"/>
          <w:lang w:val="hr-HR"/>
        </w:rPr>
        <w:t>Pokazatelj</w:t>
      </w:r>
      <w:r w:rsidR="0082642C" w:rsidRPr="00DD04A7">
        <w:rPr>
          <w:b/>
          <w:sz w:val="22"/>
          <w:lang w:val="hr-HR"/>
        </w:rPr>
        <w:t xml:space="preserve"> 8: De</w:t>
      </w:r>
      <w:r>
        <w:rPr>
          <w:b/>
          <w:sz w:val="22"/>
          <w:lang w:val="hr-HR"/>
        </w:rPr>
        <w:t>k</w:t>
      </w:r>
      <w:r w:rsidR="0082642C" w:rsidRPr="00DD04A7">
        <w:rPr>
          <w:b/>
          <w:sz w:val="22"/>
          <w:lang w:val="hr-HR"/>
        </w:rPr>
        <w:t>arboni</w:t>
      </w:r>
      <w:r>
        <w:rPr>
          <w:b/>
          <w:sz w:val="22"/>
          <w:lang w:val="hr-HR"/>
        </w:rPr>
        <w:t>zacijski</w:t>
      </w:r>
      <w:r w:rsidR="0082642C" w:rsidRPr="00DD04A7">
        <w:rPr>
          <w:b/>
          <w:sz w:val="22"/>
          <w:lang w:val="hr-HR"/>
        </w:rPr>
        <w:t xml:space="preserve"> plan – </w:t>
      </w:r>
      <w:r>
        <w:rPr>
          <w:b/>
          <w:sz w:val="22"/>
          <w:lang w:val="hr-HR"/>
        </w:rPr>
        <w:t>Aktivnosti</w:t>
      </w:r>
      <w:bookmarkEnd w:id="40"/>
    </w:p>
    <w:p w14:paraId="6B312A42" w14:textId="3D93210E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582F0E5A" w14:textId="76D5F45E" w:rsidR="0082642C" w:rsidRPr="00DD04A7" w:rsidRDefault="0082642C" w:rsidP="0082642C">
      <w:pPr>
        <w:ind w:firstLine="720"/>
        <w:rPr>
          <w:szCs w:val="20"/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20466D96" w14:textId="1D069F16" w:rsidR="0082642C" w:rsidRPr="00DD04A7" w:rsidRDefault="006652BE" w:rsidP="004F3E02">
      <w:pPr>
        <w:spacing w:after="0"/>
        <w:rPr>
          <w:b/>
          <w:sz w:val="22"/>
          <w:lang w:val="hr-HR"/>
        </w:rPr>
      </w:pPr>
      <w:bookmarkStart w:id="41" w:name="_Toc12885835"/>
      <w:r>
        <w:rPr>
          <w:b/>
          <w:sz w:val="22"/>
          <w:lang w:val="hr-HR"/>
        </w:rPr>
        <w:t>Pokazatelj</w:t>
      </w:r>
      <w:r w:rsidR="0082642C" w:rsidRPr="00DD04A7">
        <w:rPr>
          <w:b/>
          <w:sz w:val="22"/>
          <w:lang w:val="hr-HR"/>
        </w:rPr>
        <w:t xml:space="preserve"> 9: </w:t>
      </w:r>
      <w:bookmarkEnd w:id="41"/>
      <w:r>
        <w:rPr>
          <w:b/>
          <w:sz w:val="22"/>
          <w:lang w:val="hr-HR"/>
        </w:rPr>
        <w:t>Razne razine upravljanje</w:t>
      </w:r>
    </w:p>
    <w:p w14:paraId="48E6D3A1" w14:textId="79ABEBAC" w:rsidR="0082642C" w:rsidRPr="00DD04A7" w:rsidRDefault="006652BE" w:rsidP="0082642C">
      <w:pPr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Rezultat</w:t>
      </w:r>
    </w:p>
    <w:p w14:paraId="5A51B3E9" w14:textId="5921DFA2" w:rsidR="0082642C" w:rsidRPr="00DD04A7" w:rsidRDefault="0082642C" w:rsidP="0082642C">
      <w:pPr>
        <w:ind w:firstLine="720"/>
        <w:rPr>
          <w:lang w:val="hr-HR"/>
        </w:rPr>
      </w:pPr>
      <w:r w:rsidRPr="00DD04A7">
        <w:rPr>
          <w:szCs w:val="20"/>
          <w:highlight w:val="green"/>
          <w:lang w:val="hr-HR"/>
        </w:rPr>
        <w:t>S</w:t>
      </w:r>
      <w:r w:rsidR="006652BE">
        <w:rPr>
          <w:szCs w:val="20"/>
          <w:highlight w:val="green"/>
          <w:lang w:val="hr-HR"/>
        </w:rPr>
        <w:t>ažetak rasprave</w:t>
      </w:r>
    </w:p>
    <w:p w14:paraId="17611ECA" w14:textId="77777777" w:rsidR="0082642C" w:rsidRPr="00DD04A7" w:rsidRDefault="0082642C" w:rsidP="002444C4">
      <w:pPr>
        <w:spacing w:line="240" w:lineRule="auto"/>
        <w:rPr>
          <w:b/>
          <w:i/>
          <w:color w:val="2F5496" w:themeColor="accent1" w:themeShade="BF"/>
          <w:lang w:val="hr-HR"/>
        </w:rPr>
      </w:pPr>
    </w:p>
    <w:p w14:paraId="62A3CC68" w14:textId="48807EEA" w:rsidR="00D378B3" w:rsidRPr="00DD04A7" w:rsidRDefault="00DB5563" w:rsidP="00DB5563">
      <w:pPr>
        <w:spacing w:line="259" w:lineRule="auto"/>
        <w:jc w:val="left"/>
        <w:rPr>
          <w:i/>
          <w:color w:val="44546A" w:themeColor="text2"/>
          <w:szCs w:val="20"/>
          <w:lang w:val="hr-HR"/>
        </w:rPr>
      </w:pPr>
      <w:r w:rsidRPr="00DD04A7">
        <w:rPr>
          <w:i/>
          <w:color w:val="44546A" w:themeColor="text2"/>
          <w:szCs w:val="20"/>
          <w:lang w:val="hr-HR"/>
        </w:rPr>
        <w:br w:type="page"/>
      </w:r>
    </w:p>
    <w:bookmarkEnd w:id="32"/>
    <w:p w14:paraId="7FEF36E3" w14:textId="558CFFB1" w:rsidR="00DA2788" w:rsidRPr="00DD04A7" w:rsidRDefault="006652BE" w:rsidP="00A14E82">
      <w:pPr>
        <w:pStyle w:val="Heading1"/>
        <w:rPr>
          <w:lang w:val="hr-HR"/>
        </w:rPr>
      </w:pPr>
      <w:r>
        <w:rPr>
          <w:lang w:val="hr-HR"/>
        </w:rPr>
        <w:lastRenderedPageBreak/>
        <w:t>Literatura</w:t>
      </w:r>
    </w:p>
    <w:p w14:paraId="19D6B566" w14:textId="77777777" w:rsidR="00AA1235" w:rsidRPr="00DD04A7" w:rsidRDefault="006A73AE" w:rsidP="00AA1235">
      <w:pPr>
        <w:jc w:val="left"/>
        <w:rPr>
          <w:lang w:val="hr-HR"/>
        </w:rPr>
      </w:pPr>
      <w:r w:rsidRPr="00DD04A7">
        <w:rPr>
          <w:lang w:val="hr-HR"/>
        </w:rPr>
        <w:t>[</w:t>
      </w:r>
      <w:r w:rsidR="0004179D" w:rsidRPr="00DD04A7">
        <w:rPr>
          <w:lang w:val="hr-HR"/>
        </w:rPr>
        <w:t>1</w:t>
      </w:r>
      <w:r w:rsidRPr="00DD04A7">
        <w:rPr>
          <w:lang w:val="hr-HR"/>
        </w:rPr>
        <w:t xml:space="preserve">] </w:t>
      </w:r>
      <w:r w:rsidR="00AA1235" w:rsidRPr="00DD04A7">
        <w:rPr>
          <w:lang w:val="hr-HR"/>
        </w:rPr>
        <w:t>Bertoldi P. (editor), Guidebook 'How to develop a Sustainable Energy and Climate Action Plan (SECAP) – Part 2 - Baseline Emission Inventory (BEI) and Risk and Vulnerability Assessment (RVA), EUR 29412 EN, Publications Office of the European Union, Luxembourg, 2018, ISBN 978-92-79-96929-4, doi:10.2760/118857, JRC112986</w:t>
      </w:r>
    </w:p>
    <w:p w14:paraId="40D66D00" w14:textId="7EC14299" w:rsidR="006A73AE" w:rsidRPr="00DD04A7" w:rsidRDefault="006A73AE" w:rsidP="002C3BA8">
      <w:pPr>
        <w:jc w:val="left"/>
        <w:rPr>
          <w:lang w:val="hr-HR"/>
        </w:rPr>
      </w:pPr>
      <w:r w:rsidRPr="00DD04A7">
        <w:rPr>
          <w:lang w:val="hr-HR"/>
        </w:rPr>
        <w:t>Available at:</w:t>
      </w:r>
    </w:p>
    <w:p w14:paraId="420ED876" w14:textId="3B8CD99F" w:rsidR="0004179D" w:rsidRPr="00DD04A7" w:rsidRDefault="00A534D9" w:rsidP="002C3BA8">
      <w:pPr>
        <w:jc w:val="left"/>
        <w:rPr>
          <w:lang w:val="hr-HR"/>
        </w:rPr>
      </w:pPr>
      <w:hyperlink r:id="rId22" w:history="1">
        <w:r w:rsidR="00AA1235" w:rsidRPr="00DD04A7">
          <w:rPr>
            <w:rStyle w:val="Hyperlink"/>
            <w:lang w:val="hr-HR"/>
          </w:rPr>
          <w:t>http://publications.jrc.ec.europa.eu/repository/bitstream/JRC112986/jrc112986_kj-nb-29412-en-n.pdf</w:t>
        </w:r>
      </w:hyperlink>
    </w:p>
    <w:p w14:paraId="1992B984" w14:textId="0D63EAAE" w:rsidR="00DE00A1" w:rsidRPr="00DD04A7" w:rsidRDefault="00DE00A1">
      <w:pPr>
        <w:spacing w:line="259" w:lineRule="auto"/>
        <w:jc w:val="left"/>
        <w:rPr>
          <w:szCs w:val="20"/>
          <w:lang w:val="hr-HR"/>
        </w:rPr>
      </w:pPr>
      <w:r w:rsidRPr="00DD04A7">
        <w:rPr>
          <w:szCs w:val="20"/>
          <w:lang w:val="hr-HR"/>
        </w:rPr>
        <w:br w:type="page"/>
      </w:r>
    </w:p>
    <w:p w14:paraId="4D2ED86C" w14:textId="77777777" w:rsidR="00D31087" w:rsidRPr="00DD04A7" w:rsidRDefault="00D31087" w:rsidP="00D31087">
      <w:pPr>
        <w:ind w:left="1440" w:right="153"/>
        <w:jc w:val="left"/>
        <w:rPr>
          <w:lang w:val="hr-HR"/>
        </w:rPr>
      </w:pPr>
    </w:p>
    <w:p w14:paraId="2CE3BEF7" w14:textId="77777777" w:rsidR="00D31087" w:rsidRPr="00DD04A7" w:rsidRDefault="00D31087" w:rsidP="00D31087">
      <w:pPr>
        <w:ind w:left="1440" w:right="153"/>
        <w:jc w:val="left"/>
        <w:rPr>
          <w:lang w:val="hr-HR"/>
        </w:rPr>
      </w:pPr>
    </w:p>
    <w:p w14:paraId="3821E48B" w14:textId="77777777" w:rsidR="00D31087" w:rsidRPr="00DD04A7" w:rsidRDefault="00D31087" w:rsidP="00D31087">
      <w:pPr>
        <w:ind w:left="1440" w:right="153"/>
        <w:jc w:val="left"/>
        <w:rPr>
          <w:lang w:val="hr-HR"/>
        </w:rPr>
      </w:pPr>
      <w:r w:rsidRPr="00DD04A7">
        <w:rPr>
          <w:noProof/>
          <w:lang w:val="hr-HR"/>
        </w:rPr>
        <w:drawing>
          <wp:anchor distT="0" distB="0" distL="114300" distR="114300" simplePos="0" relativeHeight="251665408" behindDoc="0" locked="0" layoutInCell="1" allowOverlap="1" wp14:anchorId="7F146E34" wp14:editId="4DD4B867">
            <wp:simplePos x="0" y="0"/>
            <wp:positionH relativeFrom="margin">
              <wp:posOffset>-45720</wp:posOffset>
            </wp:positionH>
            <wp:positionV relativeFrom="paragraph">
              <wp:posOffset>291465</wp:posOffset>
            </wp:positionV>
            <wp:extent cx="837565" cy="558800"/>
            <wp:effectExtent l="0" t="0" r="635" b="0"/>
            <wp:wrapNone/>
            <wp:docPr id="11" name="Picture 11" descr="Image result for eu fla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u flag log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98809" w14:textId="77777777" w:rsidR="00D31087" w:rsidRPr="00DD04A7" w:rsidRDefault="00D31087" w:rsidP="00D31087">
      <w:pPr>
        <w:ind w:left="1440" w:right="153"/>
        <w:jc w:val="left"/>
        <w:rPr>
          <w:rFonts w:cstheme="minorHAnsi"/>
          <w:szCs w:val="20"/>
          <w:lang w:val="hr-HR"/>
        </w:rPr>
      </w:pPr>
      <w:r w:rsidRPr="00DD04A7">
        <w:rPr>
          <w:lang w:val="hr-HR"/>
        </w:rPr>
        <w:t>© European Union</w:t>
      </w:r>
      <w:r w:rsidRPr="00DD04A7">
        <w:rPr>
          <w:lang w:val="hr-HR"/>
        </w:rPr>
        <w:br/>
        <w:t>This publication does not involve the European Commission in liability of any kind.</w:t>
      </w:r>
    </w:p>
    <w:p w14:paraId="2AF46516" w14:textId="77777777" w:rsidR="00D31087" w:rsidRPr="00DD04A7" w:rsidRDefault="00D31087" w:rsidP="002C3BA8">
      <w:pPr>
        <w:jc w:val="left"/>
        <w:rPr>
          <w:lang w:val="hr-HR"/>
        </w:rPr>
      </w:pPr>
    </w:p>
    <w:p w14:paraId="7CD6D016" w14:textId="77777777" w:rsidR="00DA2788" w:rsidRPr="00DD04A7" w:rsidRDefault="00D31087" w:rsidP="002C3BA8">
      <w:pPr>
        <w:jc w:val="left"/>
        <w:rPr>
          <w:lang w:val="hr-HR"/>
        </w:rPr>
      </w:pPr>
      <w:r w:rsidRPr="00DD04A7">
        <w:rPr>
          <w:rFonts w:cs="Calibri"/>
          <w:i/>
          <w:noProof/>
          <w:lang w:val="hr-HR"/>
        </w:rPr>
        <w:drawing>
          <wp:anchor distT="0" distB="0" distL="114300" distR="114300" simplePos="0" relativeHeight="251663360" behindDoc="1" locked="0" layoutInCell="1" allowOverlap="1" wp14:anchorId="74B31677" wp14:editId="1571C546">
            <wp:simplePos x="0" y="0"/>
            <wp:positionH relativeFrom="margin">
              <wp:posOffset>45720</wp:posOffset>
            </wp:positionH>
            <wp:positionV relativeFrom="paragraph">
              <wp:posOffset>284480</wp:posOffset>
            </wp:positionV>
            <wp:extent cx="8338185" cy="8304530"/>
            <wp:effectExtent l="0" t="0" r="5715" b="127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185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9C6B0" w14:textId="77777777" w:rsidR="00DA2788" w:rsidRPr="00DD04A7" w:rsidRDefault="00DA2788" w:rsidP="002C3BA8">
      <w:pPr>
        <w:jc w:val="left"/>
        <w:rPr>
          <w:lang w:val="hr-HR"/>
        </w:rPr>
      </w:pPr>
    </w:p>
    <w:p w14:paraId="244840F4" w14:textId="77777777" w:rsidR="00DA2788" w:rsidRPr="00DD04A7" w:rsidRDefault="00DA2788" w:rsidP="002C3BA8">
      <w:pPr>
        <w:jc w:val="left"/>
        <w:rPr>
          <w:lang w:val="hr-HR"/>
        </w:rPr>
      </w:pPr>
    </w:p>
    <w:p w14:paraId="02F0A384" w14:textId="77777777" w:rsidR="00DA2788" w:rsidRPr="00DD04A7" w:rsidRDefault="00DA2788" w:rsidP="002C3BA8">
      <w:pPr>
        <w:jc w:val="left"/>
        <w:rPr>
          <w:lang w:val="hr-HR"/>
        </w:rPr>
      </w:pPr>
    </w:p>
    <w:p w14:paraId="64BDAE61" w14:textId="77777777" w:rsidR="00DA2788" w:rsidRPr="00DD04A7" w:rsidRDefault="00DA2788" w:rsidP="002C3BA8">
      <w:pPr>
        <w:jc w:val="left"/>
        <w:rPr>
          <w:lang w:val="hr-HR"/>
        </w:rPr>
      </w:pPr>
    </w:p>
    <w:p w14:paraId="5BD7BE9E" w14:textId="77777777" w:rsidR="00DA2788" w:rsidRPr="00DD04A7" w:rsidRDefault="00DA2788" w:rsidP="00DA2788">
      <w:pPr>
        <w:ind w:left="1440" w:right="153"/>
        <w:jc w:val="left"/>
        <w:rPr>
          <w:lang w:val="hr-HR"/>
        </w:rPr>
      </w:pPr>
    </w:p>
    <w:p w14:paraId="7EB89C25" w14:textId="77777777" w:rsidR="00DA2788" w:rsidRPr="00DD04A7" w:rsidRDefault="00DA2788" w:rsidP="00DA2788">
      <w:pPr>
        <w:ind w:left="1440" w:right="153"/>
        <w:jc w:val="left"/>
        <w:rPr>
          <w:lang w:val="hr-HR"/>
        </w:rPr>
      </w:pPr>
    </w:p>
    <w:p w14:paraId="0B4B351A" w14:textId="77777777" w:rsidR="00DA2788" w:rsidRPr="00DD04A7" w:rsidRDefault="00DA2788" w:rsidP="00DA2788">
      <w:pPr>
        <w:ind w:left="1440" w:right="153"/>
        <w:jc w:val="left"/>
        <w:rPr>
          <w:lang w:val="hr-HR"/>
        </w:rPr>
      </w:pPr>
    </w:p>
    <w:p w14:paraId="5F40CB15" w14:textId="77777777" w:rsidR="00DA2788" w:rsidRPr="00DD04A7" w:rsidRDefault="00DA2788" w:rsidP="00DA2788">
      <w:pPr>
        <w:ind w:left="1440" w:right="153"/>
        <w:jc w:val="left"/>
        <w:rPr>
          <w:lang w:val="hr-HR"/>
        </w:rPr>
      </w:pPr>
    </w:p>
    <w:p w14:paraId="53BBDE03" w14:textId="77777777" w:rsidR="00DA2788" w:rsidRPr="00DD04A7" w:rsidRDefault="00DA2788" w:rsidP="002C3BA8">
      <w:pPr>
        <w:jc w:val="left"/>
        <w:rPr>
          <w:lang w:val="hr-HR"/>
        </w:rPr>
      </w:pPr>
    </w:p>
    <w:p w14:paraId="6940FCD1" w14:textId="77777777" w:rsidR="00FA25BF" w:rsidRPr="00DD04A7" w:rsidRDefault="00FA25BF" w:rsidP="002C3BA8">
      <w:pPr>
        <w:jc w:val="left"/>
        <w:rPr>
          <w:lang w:val="hr-HR"/>
        </w:rPr>
      </w:pPr>
    </w:p>
    <w:p w14:paraId="7D2FD50F" w14:textId="77777777" w:rsidR="00AE4D32" w:rsidRPr="00DD04A7" w:rsidRDefault="00AE4D32" w:rsidP="00DA2788">
      <w:pPr>
        <w:jc w:val="left"/>
        <w:rPr>
          <w:lang w:val="hr-HR"/>
        </w:rPr>
      </w:pPr>
    </w:p>
    <w:sectPr w:rsidR="00AE4D32" w:rsidRPr="00DD04A7" w:rsidSect="00BF79B1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14B0" w14:textId="77777777" w:rsidR="00A534D9" w:rsidRDefault="00A534D9" w:rsidP="00CD62FA">
      <w:pPr>
        <w:spacing w:after="0" w:line="240" w:lineRule="auto"/>
      </w:pPr>
      <w:r>
        <w:separator/>
      </w:r>
    </w:p>
  </w:endnote>
  <w:endnote w:type="continuationSeparator" w:id="0">
    <w:p w14:paraId="775BDB30" w14:textId="77777777" w:rsidR="00A534D9" w:rsidRDefault="00A534D9" w:rsidP="00CD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Black"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tive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457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71100" w14:textId="77777777" w:rsidR="00896B21" w:rsidRDefault="00896B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3E858" w14:textId="77777777" w:rsidR="00896B21" w:rsidRDefault="00896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368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4049F" w14:textId="03D774AC" w:rsidR="00896B21" w:rsidRDefault="00896B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80A36" w14:textId="77777777" w:rsidR="00896B21" w:rsidRPr="00CD62FA" w:rsidRDefault="00896B21" w:rsidP="00CD62FA">
    <w:pPr>
      <w:ind w:right="153"/>
      <w:rPr>
        <w:rFonts w:cstheme="minorHAnsi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EED2" w14:textId="77777777" w:rsidR="00A534D9" w:rsidRDefault="00A534D9" w:rsidP="00CD62FA">
      <w:pPr>
        <w:spacing w:after="0" w:line="240" w:lineRule="auto"/>
      </w:pPr>
      <w:r>
        <w:separator/>
      </w:r>
    </w:p>
  </w:footnote>
  <w:footnote w:type="continuationSeparator" w:id="0">
    <w:p w14:paraId="360ACF19" w14:textId="77777777" w:rsidR="00A534D9" w:rsidRDefault="00A534D9" w:rsidP="00CD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B2BD" w14:textId="77777777" w:rsidR="00896B21" w:rsidRPr="00D31087" w:rsidRDefault="00896B21">
    <w:pPr>
      <w:pStyle w:val="Header"/>
    </w:pPr>
    <w:r w:rsidRPr="005C730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0E83E4" wp14:editId="2DE69048">
          <wp:simplePos x="0" y="0"/>
          <wp:positionH relativeFrom="margin">
            <wp:posOffset>4373880</wp:posOffset>
          </wp:positionH>
          <wp:positionV relativeFrom="paragraph">
            <wp:posOffset>-106680</wp:posOffset>
          </wp:positionV>
          <wp:extent cx="1379220" cy="364873"/>
          <wp:effectExtent l="0" t="0" r="0" b="0"/>
          <wp:wrapNone/>
          <wp:docPr id="3" name="Grafi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Island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6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Clean Energy Transition Agenda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4D2E" w14:textId="77777777" w:rsidR="00896B21" w:rsidRDefault="00896B21" w:rsidP="005B5535">
    <w:pPr>
      <w:ind w:right="-5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FE0A" w14:textId="77777777" w:rsidR="00896B21" w:rsidRPr="00D31087" w:rsidRDefault="00896B21">
    <w:pPr>
      <w:pStyle w:val="Header"/>
    </w:pPr>
    <w:r w:rsidRPr="005C7305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51AB305" wp14:editId="6C52671C">
          <wp:simplePos x="0" y="0"/>
          <wp:positionH relativeFrom="margin">
            <wp:posOffset>4373880</wp:posOffset>
          </wp:positionH>
          <wp:positionV relativeFrom="paragraph">
            <wp:posOffset>-106680</wp:posOffset>
          </wp:positionV>
          <wp:extent cx="1379220" cy="364873"/>
          <wp:effectExtent l="0" t="0" r="0" b="0"/>
          <wp:wrapNone/>
          <wp:docPr id="6" name="Grafi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Island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6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Clean Energy Transition Agenda </w:t>
    </w:r>
    <w:r w:rsidRPr="002F03B7">
      <w:rPr>
        <w:highlight w:val="green"/>
      </w:rPr>
      <w:t>[</w:t>
    </w:r>
    <w:r w:rsidRPr="00082D87">
      <w:rPr>
        <w:highlight w:val="green"/>
      </w:rPr>
      <w:t>Island</w:t>
    </w:r>
    <w:r w:rsidRPr="002F03B7">
      <w:rPr>
        <w:highlight w:val="green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5B3"/>
    <w:multiLevelType w:val="multilevel"/>
    <w:tmpl w:val="D41E2A58"/>
    <w:styleLink w:val="3EMultilevellist"/>
    <w:lvl w:ilvl="0">
      <w:start w:val="1"/>
      <w:numFmt w:val="decimal"/>
      <w:lvlText w:val="%1."/>
      <w:lvlJc w:val="left"/>
      <w:pPr>
        <w:ind w:left="360" w:hanging="360"/>
      </w:pPr>
      <w:rPr>
        <w:rFonts w:ascii="Montserrat Black" w:hAnsi="Montserrat Black" w:hint="default"/>
        <w:b w:val="0"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4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Montserrat Black" w:hAnsi="Montserrat Black" w:hint="default"/>
        <w:color w:val="FFC000" w:themeColor="accent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420737F"/>
    <w:multiLevelType w:val="hybridMultilevel"/>
    <w:tmpl w:val="54D29236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DD4"/>
    <w:multiLevelType w:val="hybridMultilevel"/>
    <w:tmpl w:val="E10E76DA"/>
    <w:lvl w:ilvl="0" w:tplc="33F0E18E">
      <w:start w:val="1"/>
      <w:numFmt w:val="decimal"/>
      <w:pStyle w:val="Heading2"/>
      <w:lvlText w:val="%1."/>
      <w:lvlJc w:val="left"/>
      <w:pPr>
        <w:ind w:left="720" w:hanging="36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32"/>
        <w:u w:val="none"/>
        <w:effect w:val="none"/>
        <w:vertAlign w:val="baseline"/>
        <w:em w:val="none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30C"/>
    <w:multiLevelType w:val="hybridMultilevel"/>
    <w:tmpl w:val="93F0C46E"/>
    <w:lvl w:ilvl="0" w:tplc="45A64CFE">
      <w:start w:val="1"/>
      <w:numFmt w:val="lowerLetter"/>
      <w:pStyle w:val="SubnumberList"/>
      <w:lvlText w:val="%1."/>
      <w:lvlJc w:val="left"/>
      <w:pPr>
        <w:ind w:left="1080" w:hanging="360"/>
      </w:pPr>
      <w:rPr>
        <w:rFonts w:ascii="Century Gothic" w:hAnsi="Century Gothic" w:hint="default"/>
        <w:b w:val="0"/>
        <w:i w:val="0"/>
        <w:color w:val="000000" w:themeColor="text1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B0656"/>
    <w:multiLevelType w:val="hybridMultilevel"/>
    <w:tmpl w:val="8056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0818"/>
    <w:multiLevelType w:val="multilevel"/>
    <w:tmpl w:val="682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B63EFB"/>
    <w:multiLevelType w:val="hybridMultilevel"/>
    <w:tmpl w:val="F0D6FF1A"/>
    <w:lvl w:ilvl="0" w:tplc="10E80B26">
      <w:start w:val="1"/>
      <w:numFmt w:val="decimal"/>
      <w:pStyle w:val="Header4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  <w:i w:val="0"/>
        <w:iCs w:val="0"/>
        <w:caps w:val="0"/>
        <w:strike w:val="0"/>
        <w:dstrike w:val="0"/>
        <w:vanish w:val="0"/>
        <w:color w:val="9BC31A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52EF"/>
    <w:multiLevelType w:val="multilevel"/>
    <w:tmpl w:val="D41E2A58"/>
    <w:lvl w:ilvl="0">
      <w:start w:val="1"/>
      <w:numFmt w:val="decimal"/>
      <w:lvlText w:val="%1."/>
      <w:lvlJc w:val="left"/>
      <w:pPr>
        <w:ind w:left="360" w:hanging="360"/>
      </w:pPr>
      <w:rPr>
        <w:rFonts w:ascii="Montserrat Black" w:hAnsi="Montserrat Black" w:hint="default"/>
        <w:b w:val="0"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4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Montserrat Black" w:hAnsi="Montserrat Black" w:hint="default"/>
        <w:color w:val="FFC000" w:themeColor="accent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1DAC77D4"/>
    <w:multiLevelType w:val="hybridMultilevel"/>
    <w:tmpl w:val="BB60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5DDB"/>
    <w:multiLevelType w:val="hybridMultilevel"/>
    <w:tmpl w:val="D4660DF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6F12038"/>
    <w:multiLevelType w:val="multilevel"/>
    <w:tmpl w:val="633E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A7AE8"/>
    <w:multiLevelType w:val="hybridMultilevel"/>
    <w:tmpl w:val="BCF81B1C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271B8"/>
    <w:multiLevelType w:val="hybridMultilevel"/>
    <w:tmpl w:val="07406A08"/>
    <w:lvl w:ilvl="0" w:tplc="33F0E18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vanish w:val="0"/>
        <w:color w:val="FFC000" w:themeColor="accent4"/>
        <w:spacing w:val="0"/>
        <w:kern w:val="0"/>
        <w:position w:val="0"/>
        <w:sz w:val="32"/>
        <w:u w:val="none"/>
        <w:effect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30BEE"/>
    <w:multiLevelType w:val="hybridMultilevel"/>
    <w:tmpl w:val="9AB498D2"/>
    <w:lvl w:ilvl="0" w:tplc="24728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05FC4"/>
    <w:multiLevelType w:val="hybridMultilevel"/>
    <w:tmpl w:val="5C12B35E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75F20"/>
    <w:multiLevelType w:val="hybridMultilevel"/>
    <w:tmpl w:val="52829DDE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961C5"/>
    <w:multiLevelType w:val="hybridMultilevel"/>
    <w:tmpl w:val="055AB9EA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A7B09"/>
    <w:multiLevelType w:val="hybridMultilevel"/>
    <w:tmpl w:val="42228560"/>
    <w:lvl w:ilvl="0" w:tplc="57189798">
      <w:start w:val="1"/>
      <w:numFmt w:val="decimal"/>
      <w:pStyle w:val="NumberList"/>
      <w:lvlText w:val="%1."/>
      <w:lvlJc w:val="left"/>
      <w:pPr>
        <w:ind w:left="502" w:hanging="360"/>
      </w:pPr>
      <w:rPr>
        <w:rFonts w:ascii="Century Gothic" w:hAnsi="Century Gothic" w:hint="default"/>
        <w:b w:val="0"/>
        <w:i w:val="0"/>
        <w:color w:val="2F5496" w:themeColor="accent1" w:themeShade="BF"/>
        <w:sz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52B23"/>
    <w:multiLevelType w:val="hybridMultilevel"/>
    <w:tmpl w:val="372ABFDA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B3477"/>
    <w:multiLevelType w:val="multilevel"/>
    <w:tmpl w:val="C8B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F07ECB"/>
    <w:multiLevelType w:val="hybridMultilevel"/>
    <w:tmpl w:val="F9969E04"/>
    <w:lvl w:ilvl="0" w:tplc="7672790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210B"/>
    <w:multiLevelType w:val="hybridMultilevel"/>
    <w:tmpl w:val="B832F93E"/>
    <w:lvl w:ilvl="0" w:tplc="97A29FF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E514C"/>
    <w:multiLevelType w:val="hybridMultilevel"/>
    <w:tmpl w:val="539E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632D6"/>
    <w:multiLevelType w:val="hybridMultilevel"/>
    <w:tmpl w:val="F42C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5E62"/>
    <w:multiLevelType w:val="hybridMultilevel"/>
    <w:tmpl w:val="5C1C2378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B3D9E"/>
    <w:multiLevelType w:val="hybridMultilevel"/>
    <w:tmpl w:val="37EE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C5CCE"/>
    <w:multiLevelType w:val="hybridMultilevel"/>
    <w:tmpl w:val="0234C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85971"/>
    <w:multiLevelType w:val="multilevel"/>
    <w:tmpl w:val="29E6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381912"/>
    <w:multiLevelType w:val="singleLevel"/>
    <w:tmpl w:val="8B1670F8"/>
    <w:lvl w:ilvl="0">
      <w:start w:val="1"/>
      <w:numFmt w:val="decimal"/>
      <w:pStyle w:val="TableNumber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9" w15:restartNumberingAfterBreak="0">
    <w:nsid w:val="74EB2A43"/>
    <w:multiLevelType w:val="hybridMultilevel"/>
    <w:tmpl w:val="C9E4E002"/>
    <w:lvl w:ilvl="0" w:tplc="6E1ECDA4">
      <w:start w:val="14"/>
      <w:numFmt w:val="bullet"/>
      <w:pStyle w:val="3EBulletLis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62669"/>
    <w:multiLevelType w:val="hybridMultilevel"/>
    <w:tmpl w:val="61325AB0"/>
    <w:lvl w:ilvl="0" w:tplc="4372E7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766EB"/>
    <w:multiLevelType w:val="hybridMultilevel"/>
    <w:tmpl w:val="36BE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036F3"/>
    <w:multiLevelType w:val="hybridMultilevel"/>
    <w:tmpl w:val="81A06F90"/>
    <w:lvl w:ilvl="0" w:tplc="C8DACA5E">
      <w:start w:val="20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"/>
  </w:num>
  <w:num w:numId="5">
    <w:abstractNumId w:val="6"/>
  </w:num>
  <w:num w:numId="6">
    <w:abstractNumId w:val="21"/>
  </w:num>
  <w:num w:numId="7">
    <w:abstractNumId w:val="25"/>
  </w:num>
  <w:num w:numId="8">
    <w:abstractNumId w:val="22"/>
  </w:num>
  <w:num w:numId="9">
    <w:abstractNumId w:val="26"/>
  </w:num>
  <w:num w:numId="10">
    <w:abstractNumId w:val="2"/>
  </w:num>
  <w:num w:numId="11">
    <w:abstractNumId w:val="0"/>
  </w:num>
  <w:num w:numId="12">
    <w:abstractNumId w:val="7"/>
  </w:num>
  <w:num w:numId="13">
    <w:abstractNumId w:val="2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28"/>
  </w:num>
  <w:num w:numId="17">
    <w:abstractNumId w:val="4"/>
  </w:num>
  <w:num w:numId="18">
    <w:abstractNumId w:val="8"/>
  </w:num>
  <w:num w:numId="19">
    <w:abstractNumId w:val="23"/>
  </w:num>
  <w:num w:numId="20">
    <w:abstractNumId w:val="18"/>
  </w:num>
  <w:num w:numId="21">
    <w:abstractNumId w:val="1"/>
  </w:num>
  <w:num w:numId="22">
    <w:abstractNumId w:val="14"/>
  </w:num>
  <w:num w:numId="23">
    <w:abstractNumId w:val="32"/>
  </w:num>
  <w:num w:numId="24">
    <w:abstractNumId w:val="24"/>
  </w:num>
  <w:num w:numId="25">
    <w:abstractNumId w:val="16"/>
  </w:num>
  <w:num w:numId="26">
    <w:abstractNumId w:val="11"/>
  </w:num>
  <w:num w:numId="27">
    <w:abstractNumId w:val="15"/>
  </w:num>
  <w:num w:numId="28">
    <w:abstractNumId w:val="13"/>
  </w:num>
  <w:num w:numId="29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</w:num>
  <w:num w:numId="33">
    <w:abstractNumId w:val="9"/>
  </w:num>
  <w:num w:numId="34">
    <w:abstractNumId w:val="31"/>
  </w:num>
  <w:num w:numId="35">
    <w:abstractNumId w:val="2"/>
  </w:num>
  <w:num w:numId="36">
    <w:abstractNumId w:val="12"/>
  </w:num>
  <w:num w:numId="37">
    <w:abstractNumId w:val="2"/>
    <w:lvlOverride w:ilvl="0">
      <w:startOverride w:val="1"/>
    </w:lvlOverride>
  </w:num>
  <w:num w:numId="38">
    <w:abstractNumId w:val="27"/>
  </w:num>
  <w:num w:numId="39">
    <w:abstractNumId w:val="10"/>
  </w:num>
  <w:num w:numId="40">
    <w:abstractNumId w:val="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A5"/>
    <w:rsid w:val="00001D54"/>
    <w:rsid w:val="00025B6E"/>
    <w:rsid w:val="0004179D"/>
    <w:rsid w:val="00044CFA"/>
    <w:rsid w:val="00054A9B"/>
    <w:rsid w:val="00072BC9"/>
    <w:rsid w:val="0008100F"/>
    <w:rsid w:val="00082D87"/>
    <w:rsid w:val="00085CE3"/>
    <w:rsid w:val="00086597"/>
    <w:rsid w:val="00090F32"/>
    <w:rsid w:val="0009375D"/>
    <w:rsid w:val="000A76F5"/>
    <w:rsid w:val="000C7BE1"/>
    <w:rsid w:val="000D00FD"/>
    <w:rsid w:val="000D0BB0"/>
    <w:rsid w:val="000E0D2E"/>
    <w:rsid w:val="000E36FB"/>
    <w:rsid w:val="000F4B96"/>
    <w:rsid w:val="00106D24"/>
    <w:rsid w:val="00117967"/>
    <w:rsid w:val="00117C7B"/>
    <w:rsid w:val="00122E9E"/>
    <w:rsid w:val="00124566"/>
    <w:rsid w:val="00131C16"/>
    <w:rsid w:val="00176B72"/>
    <w:rsid w:val="00186A7A"/>
    <w:rsid w:val="001A069C"/>
    <w:rsid w:val="001B38A4"/>
    <w:rsid w:val="001C46B1"/>
    <w:rsid w:val="001C6819"/>
    <w:rsid w:val="001D1EC9"/>
    <w:rsid w:val="001D2A78"/>
    <w:rsid w:val="001E39B5"/>
    <w:rsid w:val="001F0D61"/>
    <w:rsid w:val="001F5FE3"/>
    <w:rsid w:val="001F68E4"/>
    <w:rsid w:val="002036F3"/>
    <w:rsid w:val="00204427"/>
    <w:rsid w:val="00210B84"/>
    <w:rsid w:val="0023250B"/>
    <w:rsid w:val="002444C4"/>
    <w:rsid w:val="00254C6D"/>
    <w:rsid w:val="002633A5"/>
    <w:rsid w:val="00263B16"/>
    <w:rsid w:val="002752C4"/>
    <w:rsid w:val="00297FA0"/>
    <w:rsid w:val="002A5EF3"/>
    <w:rsid w:val="002B1735"/>
    <w:rsid w:val="002C3BA8"/>
    <w:rsid w:val="002E0A35"/>
    <w:rsid w:val="002E369F"/>
    <w:rsid w:val="002F03B7"/>
    <w:rsid w:val="002F5A96"/>
    <w:rsid w:val="00306E97"/>
    <w:rsid w:val="00307A1F"/>
    <w:rsid w:val="00314EC3"/>
    <w:rsid w:val="0031532F"/>
    <w:rsid w:val="003203DB"/>
    <w:rsid w:val="003207D4"/>
    <w:rsid w:val="0032330B"/>
    <w:rsid w:val="00335879"/>
    <w:rsid w:val="00346B13"/>
    <w:rsid w:val="003557F3"/>
    <w:rsid w:val="00360B48"/>
    <w:rsid w:val="0036160C"/>
    <w:rsid w:val="00362980"/>
    <w:rsid w:val="003727AF"/>
    <w:rsid w:val="00383CD3"/>
    <w:rsid w:val="003C2004"/>
    <w:rsid w:val="003E1120"/>
    <w:rsid w:val="003E3302"/>
    <w:rsid w:val="003E48F4"/>
    <w:rsid w:val="0040368E"/>
    <w:rsid w:val="00412C2C"/>
    <w:rsid w:val="00414D26"/>
    <w:rsid w:val="004250FC"/>
    <w:rsid w:val="00434A6E"/>
    <w:rsid w:val="0045133A"/>
    <w:rsid w:val="004526B3"/>
    <w:rsid w:val="00453678"/>
    <w:rsid w:val="00462A24"/>
    <w:rsid w:val="004646D0"/>
    <w:rsid w:val="00470A26"/>
    <w:rsid w:val="00492037"/>
    <w:rsid w:val="00492DB2"/>
    <w:rsid w:val="004A28A6"/>
    <w:rsid w:val="004A4459"/>
    <w:rsid w:val="004A7F76"/>
    <w:rsid w:val="004C7A8F"/>
    <w:rsid w:val="004D094E"/>
    <w:rsid w:val="004F3D76"/>
    <w:rsid w:val="004F3E02"/>
    <w:rsid w:val="00507C4F"/>
    <w:rsid w:val="0051232F"/>
    <w:rsid w:val="00541C7F"/>
    <w:rsid w:val="00542C59"/>
    <w:rsid w:val="00563B95"/>
    <w:rsid w:val="00574F3A"/>
    <w:rsid w:val="005914E5"/>
    <w:rsid w:val="005A5A4E"/>
    <w:rsid w:val="005B5535"/>
    <w:rsid w:val="005B5CFB"/>
    <w:rsid w:val="005C5A53"/>
    <w:rsid w:val="005D5CFC"/>
    <w:rsid w:val="005E1A63"/>
    <w:rsid w:val="00604427"/>
    <w:rsid w:val="00620A14"/>
    <w:rsid w:val="006258AC"/>
    <w:rsid w:val="00640263"/>
    <w:rsid w:val="0065286F"/>
    <w:rsid w:val="006652BE"/>
    <w:rsid w:val="006864DA"/>
    <w:rsid w:val="00690D1F"/>
    <w:rsid w:val="00697298"/>
    <w:rsid w:val="006A2C15"/>
    <w:rsid w:val="006A493B"/>
    <w:rsid w:val="006A73AE"/>
    <w:rsid w:val="006B0505"/>
    <w:rsid w:val="006B2135"/>
    <w:rsid w:val="006C0F82"/>
    <w:rsid w:val="006D0616"/>
    <w:rsid w:val="006D128D"/>
    <w:rsid w:val="006D500B"/>
    <w:rsid w:val="006D7C10"/>
    <w:rsid w:val="006E051F"/>
    <w:rsid w:val="006E38C2"/>
    <w:rsid w:val="006E5A84"/>
    <w:rsid w:val="006F4CFA"/>
    <w:rsid w:val="00707645"/>
    <w:rsid w:val="00720EFC"/>
    <w:rsid w:val="00734441"/>
    <w:rsid w:val="0074062E"/>
    <w:rsid w:val="007424CC"/>
    <w:rsid w:val="0074691D"/>
    <w:rsid w:val="007552AB"/>
    <w:rsid w:val="00757416"/>
    <w:rsid w:val="0077162D"/>
    <w:rsid w:val="00777875"/>
    <w:rsid w:val="00797FDF"/>
    <w:rsid w:val="007A747A"/>
    <w:rsid w:val="007B1CF2"/>
    <w:rsid w:val="007B5783"/>
    <w:rsid w:val="007C0DC3"/>
    <w:rsid w:val="007C363A"/>
    <w:rsid w:val="007C7E66"/>
    <w:rsid w:val="007D1C24"/>
    <w:rsid w:val="007F113B"/>
    <w:rsid w:val="007F1C32"/>
    <w:rsid w:val="00824165"/>
    <w:rsid w:val="00824270"/>
    <w:rsid w:val="0082642C"/>
    <w:rsid w:val="0082787F"/>
    <w:rsid w:val="0084093E"/>
    <w:rsid w:val="00854FA5"/>
    <w:rsid w:val="0086695C"/>
    <w:rsid w:val="008704A1"/>
    <w:rsid w:val="00870D34"/>
    <w:rsid w:val="00885135"/>
    <w:rsid w:val="0088585C"/>
    <w:rsid w:val="00896B21"/>
    <w:rsid w:val="008A4DC8"/>
    <w:rsid w:val="008B662F"/>
    <w:rsid w:val="008B7C78"/>
    <w:rsid w:val="008C11D3"/>
    <w:rsid w:val="008C6D0F"/>
    <w:rsid w:val="008D281C"/>
    <w:rsid w:val="00912594"/>
    <w:rsid w:val="00913020"/>
    <w:rsid w:val="0093648B"/>
    <w:rsid w:val="00950005"/>
    <w:rsid w:val="00956819"/>
    <w:rsid w:val="009642D9"/>
    <w:rsid w:val="00980E3C"/>
    <w:rsid w:val="00994FCB"/>
    <w:rsid w:val="0099517B"/>
    <w:rsid w:val="009A7656"/>
    <w:rsid w:val="009B1156"/>
    <w:rsid w:val="009C10F5"/>
    <w:rsid w:val="009D154A"/>
    <w:rsid w:val="009D6EEC"/>
    <w:rsid w:val="009E5359"/>
    <w:rsid w:val="009F6D7B"/>
    <w:rsid w:val="00A01F1C"/>
    <w:rsid w:val="00A0452D"/>
    <w:rsid w:val="00A127A0"/>
    <w:rsid w:val="00A14E82"/>
    <w:rsid w:val="00A253C2"/>
    <w:rsid w:val="00A31D69"/>
    <w:rsid w:val="00A34DD4"/>
    <w:rsid w:val="00A43EE8"/>
    <w:rsid w:val="00A44284"/>
    <w:rsid w:val="00A46722"/>
    <w:rsid w:val="00A534D9"/>
    <w:rsid w:val="00A624D9"/>
    <w:rsid w:val="00A74F53"/>
    <w:rsid w:val="00A83528"/>
    <w:rsid w:val="00A95656"/>
    <w:rsid w:val="00AA1235"/>
    <w:rsid w:val="00AA7CEB"/>
    <w:rsid w:val="00AB2D70"/>
    <w:rsid w:val="00AD17B8"/>
    <w:rsid w:val="00AE343A"/>
    <w:rsid w:val="00AE4D32"/>
    <w:rsid w:val="00AE50C6"/>
    <w:rsid w:val="00B01360"/>
    <w:rsid w:val="00B10771"/>
    <w:rsid w:val="00B16442"/>
    <w:rsid w:val="00B20725"/>
    <w:rsid w:val="00B23E66"/>
    <w:rsid w:val="00B33CAE"/>
    <w:rsid w:val="00B342FA"/>
    <w:rsid w:val="00B36905"/>
    <w:rsid w:val="00B36BA0"/>
    <w:rsid w:val="00B6254F"/>
    <w:rsid w:val="00B631E3"/>
    <w:rsid w:val="00B64140"/>
    <w:rsid w:val="00B644AE"/>
    <w:rsid w:val="00B70B38"/>
    <w:rsid w:val="00B73FBD"/>
    <w:rsid w:val="00B82DD6"/>
    <w:rsid w:val="00B9108F"/>
    <w:rsid w:val="00B923B0"/>
    <w:rsid w:val="00B9253A"/>
    <w:rsid w:val="00B9336E"/>
    <w:rsid w:val="00B9513E"/>
    <w:rsid w:val="00B95291"/>
    <w:rsid w:val="00B975EC"/>
    <w:rsid w:val="00BA5838"/>
    <w:rsid w:val="00BB3E6B"/>
    <w:rsid w:val="00BB7A83"/>
    <w:rsid w:val="00BC6A85"/>
    <w:rsid w:val="00BD38BD"/>
    <w:rsid w:val="00BD3FFA"/>
    <w:rsid w:val="00BE77B0"/>
    <w:rsid w:val="00BF140A"/>
    <w:rsid w:val="00BF5676"/>
    <w:rsid w:val="00BF79B1"/>
    <w:rsid w:val="00C2466D"/>
    <w:rsid w:val="00C4734C"/>
    <w:rsid w:val="00C52ED4"/>
    <w:rsid w:val="00C64DBE"/>
    <w:rsid w:val="00C7159F"/>
    <w:rsid w:val="00C76112"/>
    <w:rsid w:val="00C86362"/>
    <w:rsid w:val="00CC42D7"/>
    <w:rsid w:val="00CD21B1"/>
    <w:rsid w:val="00CD62FA"/>
    <w:rsid w:val="00CE1076"/>
    <w:rsid w:val="00D0183F"/>
    <w:rsid w:val="00D047A5"/>
    <w:rsid w:val="00D24E1E"/>
    <w:rsid w:val="00D2664F"/>
    <w:rsid w:val="00D31087"/>
    <w:rsid w:val="00D378B3"/>
    <w:rsid w:val="00D51D31"/>
    <w:rsid w:val="00D60C9A"/>
    <w:rsid w:val="00D646A2"/>
    <w:rsid w:val="00D72E56"/>
    <w:rsid w:val="00D75A98"/>
    <w:rsid w:val="00D87F1F"/>
    <w:rsid w:val="00DA2376"/>
    <w:rsid w:val="00DA2788"/>
    <w:rsid w:val="00DA57B8"/>
    <w:rsid w:val="00DB5563"/>
    <w:rsid w:val="00DC13EE"/>
    <w:rsid w:val="00DC1504"/>
    <w:rsid w:val="00DC177F"/>
    <w:rsid w:val="00DC67A5"/>
    <w:rsid w:val="00DC6A5F"/>
    <w:rsid w:val="00DD04A7"/>
    <w:rsid w:val="00DD12D1"/>
    <w:rsid w:val="00DE00A1"/>
    <w:rsid w:val="00DE78CE"/>
    <w:rsid w:val="00DF1CA8"/>
    <w:rsid w:val="00DF4B60"/>
    <w:rsid w:val="00DF6863"/>
    <w:rsid w:val="00E025B0"/>
    <w:rsid w:val="00E02763"/>
    <w:rsid w:val="00E05420"/>
    <w:rsid w:val="00E142D0"/>
    <w:rsid w:val="00E15B46"/>
    <w:rsid w:val="00E27FA7"/>
    <w:rsid w:val="00E469B6"/>
    <w:rsid w:val="00E46A90"/>
    <w:rsid w:val="00E53723"/>
    <w:rsid w:val="00E57ABB"/>
    <w:rsid w:val="00E70D7B"/>
    <w:rsid w:val="00E721FC"/>
    <w:rsid w:val="00E85658"/>
    <w:rsid w:val="00E955C5"/>
    <w:rsid w:val="00EC2408"/>
    <w:rsid w:val="00EC68CA"/>
    <w:rsid w:val="00EF3766"/>
    <w:rsid w:val="00F01F68"/>
    <w:rsid w:val="00F02E8D"/>
    <w:rsid w:val="00F11128"/>
    <w:rsid w:val="00F26D90"/>
    <w:rsid w:val="00F27D9B"/>
    <w:rsid w:val="00F34F93"/>
    <w:rsid w:val="00F36289"/>
    <w:rsid w:val="00F40752"/>
    <w:rsid w:val="00F4353F"/>
    <w:rsid w:val="00F46048"/>
    <w:rsid w:val="00F471DB"/>
    <w:rsid w:val="00F52EED"/>
    <w:rsid w:val="00F70F8A"/>
    <w:rsid w:val="00F71138"/>
    <w:rsid w:val="00F73EEB"/>
    <w:rsid w:val="00F85200"/>
    <w:rsid w:val="00F900AB"/>
    <w:rsid w:val="00F95574"/>
    <w:rsid w:val="00FA25BF"/>
    <w:rsid w:val="00FB180C"/>
    <w:rsid w:val="00FB272D"/>
    <w:rsid w:val="00FC3E23"/>
    <w:rsid w:val="00FC447D"/>
    <w:rsid w:val="00FD135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4A8207"/>
  <w15:chartTrackingRefBased/>
  <w15:docId w15:val="{861C4895-63E9-4EB9-B093-5C67E5FB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56"/>
    <w:pPr>
      <w:spacing w:line="276" w:lineRule="auto"/>
      <w:jc w:val="both"/>
    </w:pPr>
    <w:rPr>
      <w:rFonts w:ascii="Century Gothic" w:hAnsi="Century Gothic"/>
      <w:sz w:val="20"/>
    </w:rPr>
  </w:style>
  <w:style w:type="paragraph" w:styleId="Heading1">
    <w:name w:val="heading 1"/>
    <w:aliases w:val="Section Head,3E Heading 1"/>
    <w:basedOn w:val="Normal"/>
    <w:next w:val="Normal"/>
    <w:link w:val="Heading1Char"/>
    <w:uiPriority w:val="4"/>
    <w:qFormat/>
    <w:rsid w:val="00DC67A5"/>
    <w:pPr>
      <w:keepNext/>
      <w:keepLines/>
      <w:spacing w:before="400" w:after="400"/>
      <w:outlineLvl w:val="0"/>
    </w:pPr>
    <w:rPr>
      <w:rFonts w:eastAsiaTheme="majorEastAsia" w:cstheme="majorBidi"/>
      <w:b/>
      <w:color w:val="FFC000" w:themeColor="accent4"/>
      <w:sz w:val="40"/>
      <w:szCs w:val="32"/>
    </w:rPr>
  </w:style>
  <w:style w:type="paragraph" w:styleId="Heading2">
    <w:name w:val="heading 2"/>
    <w:aliases w:val="Header 1,3E Heading 2"/>
    <w:basedOn w:val="Normal"/>
    <w:next w:val="Normal"/>
    <w:link w:val="Heading2Char"/>
    <w:uiPriority w:val="4"/>
    <w:unhideWhenUsed/>
    <w:qFormat/>
    <w:rsid w:val="00106D24"/>
    <w:pPr>
      <w:keepNext/>
      <w:keepLines/>
      <w:numPr>
        <w:numId w:val="35"/>
      </w:numPr>
      <w:spacing w:before="40" w:after="240"/>
      <w:outlineLvl w:val="1"/>
    </w:pPr>
    <w:rPr>
      <w:rFonts w:eastAsiaTheme="majorEastAsia" w:cstheme="majorBidi"/>
      <w:b/>
      <w:color w:val="FFC000" w:themeColor="accent4"/>
      <w:sz w:val="32"/>
      <w:szCs w:val="26"/>
    </w:rPr>
  </w:style>
  <w:style w:type="paragraph" w:styleId="Heading3">
    <w:name w:val="heading 3"/>
    <w:aliases w:val="Header 2,3E Heading 3"/>
    <w:basedOn w:val="Normal"/>
    <w:next w:val="Normal"/>
    <w:link w:val="Heading3Char"/>
    <w:uiPriority w:val="4"/>
    <w:unhideWhenUsed/>
    <w:qFormat/>
    <w:rsid w:val="00B631E3"/>
    <w:pPr>
      <w:keepNext/>
      <w:keepLines/>
      <w:spacing w:before="120" w:after="120"/>
      <w:outlineLvl w:val="2"/>
    </w:pPr>
    <w:rPr>
      <w:rFonts w:eastAsiaTheme="majorEastAsia" w:cstheme="majorBidi"/>
      <w:b/>
      <w:color w:val="222A35" w:themeColor="text2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63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1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3E,3E Title"/>
    <w:basedOn w:val="Normal"/>
    <w:next w:val="Normal"/>
    <w:link w:val="TitleChar"/>
    <w:uiPriority w:val="10"/>
    <w:rsid w:val="00186A7A"/>
    <w:pPr>
      <w:spacing w:after="0" w:line="240" w:lineRule="auto"/>
      <w:contextualSpacing/>
      <w:jc w:val="left"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leChar">
    <w:name w:val="Title Char"/>
    <w:aliases w:val="3E Char,3E Title Char"/>
    <w:basedOn w:val="DefaultParagraphFont"/>
    <w:link w:val="Title"/>
    <w:uiPriority w:val="10"/>
    <w:rsid w:val="00186A7A"/>
    <w:rPr>
      <w:rFonts w:ascii="Century Gothic" w:eastAsiaTheme="majorEastAsia" w:hAnsi="Century Gothic" w:cstheme="majorBidi"/>
      <w:b/>
      <w:spacing w:val="-10"/>
      <w:kern w:val="28"/>
      <w:sz w:val="108"/>
      <w:szCs w:val="56"/>
    </w:rPr>
  </w:style>
  <w:style w:type="character" w:customStyle="1" w:styleId="Heading1Char">
    <w:name w:val="Heading 1 Char"/>
    <w:aliases w:val="Section Head Char,3E Heading 1 Char"/>
    <w:basedOn w:val="DefaultParagraphFont"/>
    <w:link w:val="Heading1"/>
    <w:uiPriority w:val="9"/>
    <w:rsid w:val="00DC67A5"/>
    <w:rPr>
      <w:rFonts w:ascii="Century Gothic" w:eastAsiaTheme="majorEastAsia" w:hAnsi="Century Gothic" w:cstheme="majorBidi"/>
      <w:b/>
      <w:color w:val="FFC000" w:themeColor="accent4"/>
      <w:sz w:val="40"/>
      <w:szCs w:val="32"/>
    </w:rPr>
  </w:style>
  <w:style w:type="paragraph" w:styleId="NoSpacing">
    <w:name w:val="No Spacing"/>
    <w:aliases w:val="Disclaimer"/>
    <w:link w:val="NoSpacingChar"/>
    <w:uiPriority w:val="1"/>
    <w:rsid w:val="00186A7A"/>
    <w:pPr>
      <w:spacing w:after="0" w:line="240" w:lineRule="auto"/>
    </w:pPr>
    <w:rPr>
      <w:rFonts w:ascii="Century Gothic" w:eastAsiaTheme="minorEastAsia" w:hAnsi="Century Gothic"/>
      <w:i/>
      <w:color w:val="9BC31A"/>
      <w:sz w:val="18"/>
      <w:lang w:val="en-US"/>
    </w:rPr>
  </w:style>
  <w:style w:type="character" w:customStyle="1" w:styleId="NoSpacingChar">
    <w:name w:val="No Spacing Char"/>
    <w:aliases w:val="Disclaimer Char"/>
    <w:basedOn w:val="DefaultParagraphFont"/>
    <w:link w:val="NoSpacing"/>
    <w:uiPriority w:val="1"/>
    <w:rsid w:val="00186A7A"/>
    <w:rPr>
      <w:rFonts w:ascii="Century Gothic" w:eastAsiaTheme="minorEastAsia" w:hAnsi="Century Gothic"/>
      <w:i/>
      <w:color w:val="9BC31A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CD62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FA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CD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FA"/>
    <w:rPr>
      <w:rFonts w:ascii="Century Gothic" w:hAnsi="Century Gothic"/>
    </w:rPr>
  </w:style>
  <w:style w:type="paragraph" w:customStyle="1" w:styleId="TxtFooter">
    <w:name w:val="Txt Footer"/>
    <w:basedOn w:val="Normal"/>
    <w:autoRedefine/>
    <w:rsid w:val="00CD62FA"/>
    <w:pPr>
      <w:spacing w:after="0" w:line="312" w:lineRule="auto"/>
    </w:pPr>
    <w:rPr>
      <w:rFonts w:ascii="Open Sans" w:eastAsia="Arial" w:hAnsi="Open Sans" w:cs="Arial"/>
      <w:color w:val="A6A6A6"/>
      <w:sz w:val="14"/>
      <w:szCs w:val="18"/>
      <w:lang w:eastAsia="fr-FR"/>
    </w:rPr>
  </w:style>
  <w:style w:type="paragraph" w:styleId="Subtitle">
    <w:name w:val="Subtitle"/>
    <w:basedOn w:val="Normal"/>
    <w:next w:val="Normal"/>
    <w:link w:val="SubtitleChar"/>
    <w:uiPriority w:val="11"/>
    <w:rsid w:val="00186A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A7A"/>
    <w:rPr>
      <w:rFonts w:ascii="Century Gothic" w:eastAsiaTheme="minorEastAsia" w:hAnsi="Century Gothic"/>
      <w:color w:val="5A5A5A" w:themeColor="text1" w:themeTint="A5"/>
      <w:spacing w:val="15"/>
      <w:sz w:val="20"/>
    </w:rPr>
  </w:style>
  <w:style w:type="character" w:styleId="Emphasis">
    <w:name w:val="Emphasis"/>
    <w:basedOn w:val="DefaultParagraphFont"/>
    <w:uiPriority w:val="20"/>
    <w:rsid w:val="00186A7A"/>
    <w:rPr>
      <w:rFonts w:ascii="Century Gothic" w:hAnsi="Century Gothic"/>
      <w:i/>
      <w:iCs/>
      <w:color w:val="000000" w:themeColor="text1"/>
      <w:sz w:val="20"/>
    </w:rPr>
  </w:style>
  <w:style w:type="character" w:styleId="IntenseEmphasis">
    <w:name w:val="Intense Emphasis"/>
    <w:basedOn w:val="DefaultParagraphFont"/>
    <w:uiPriority w:val="21"/>
    <w:rsid w:val="00186A7A"/>
    <w:rPr>
      <w:rFonts w:ascii="Century Gothic" w:hAnsi="Century Gothic"/>
      <w:b/>
      <w:i/>
      <w:iCs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6A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A7A"/>
    <w:rPr>
      <w:rFonts w:ascii="Century Gothic" w:hAnsi="Century Gothic"/>
      <w:i/>
      <w:iCs/>
      <w:color w:val="404040" w:themeColor="text1" w:themeTint="BF"/>
      <w:sz w:val="20"/>
    </w:rPr>
  </w:style>
  <w:style w:type="paragraph" w:styleId="IntenseQuote">
    <w:name w:val="Intense Quote"/>
    <w:next w:val="Normal"/>
    <w:link w:val="IntenseQuoteChar"/>
    <w:uiPriority w:val="30"/>
    <w:rsid w:val="00186A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2" w:right="862"/>
      <w:jc w:val="center"/>
    </w:pPr>
    <w:rPr>
      <w:rFonts w:ascii="Century Gothic" w:hAnsi="Century Gothic"/>
      <w:i/>
      <w:iCs/>
      <w:color w:val="3B3838" w:themeColor="background2" w:themeShade="40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A7A"/>
    <w:rPr>
      <w:rFonts w:ascii="Century Gothic" w:hAnsi="Century Gothic"/>
      <w:i/>
      <w:iCs/>
      <w:color w:val="3B3838" w:themeColor="background2" w:themeShade="40"/>
      <w:sz w:val="18"/>
    </w:rPr>
  </w:style>
  <w:style w:type="character" w:styleId="Strong">
    <w:name w:val="Strong"/>
    <w:basedOn w:val="DefaultParagraphFont"/>
    <w:uiPriority w:val="22"/>
    <w:rsid w:val="00186A7A"/>
    <w:rPr>
      <w:b/>
      <w:bCs/>
    </w:rPr>
  </w:style>
  <w:style w:type="character" w:styleId="IntenseReference">
    <w:name w:val="Intense Reference"/>
    <w:basedOn w:val="DefaultParagraphFont"/>
    <w:uiPriority w:val="32"/>
    <w:rsid w:val="00186A7A"/>
    <w:rPr>
      <w:rFonts w:ascii="Century Gothic" w:hAnsi="Century Gothic"/>
      <w:b/>
      <w:bCs/>
      <w:smallCaps/>
      <w:color w:val="9BC31A"/>
      <w:spacing w:val="5"/>
      <w:sz w:val="18"/>
    </w:rPr>
  </w:style>
  <w:style w:type="character" w:styleId="BookTitle">
    <w:name w:val="Book Title"/>
    <w:basedOn w:val="DefaultParagraphFont"/>
    <w:uiPriority w:val="33"/>
    <w:rsid w:val="00186A7A"/>
    <w:rPr>
      <w:rFonts w:ascii="Century Gothic" w:hAnsi="Century Gothic"/>
      <w:b/>
      <w:bCs/>
      <w:i/>
      <w:iCs/>
      <w:spacing w:val="5"/>
      <w:sz w:val="20"/>
    </w:rPr>
  </w:style>
  <w:style w:type="character" w:styleId="SubtleReference">
    <w:name w:val="Subtle Reference"/>
    <w:basedOn w:val="DefaultParagraphFont"/>
    <w:uiPriority w:val="31"/>
    <w:rsid w:val="00186A7A"/>
    <w:rPr>
      <w:rFonts w:ascii="Century Gothic" w:hAnsi="Century Gothic"/>
      <w:smallCaps/>
      <w:color w:val="5A5A5A" w:themeColor="text1" w:themeTint="A5"/>
      <w:sz w:val="20"/>
    </w:rPr>
  </w:style>
  <w:style w:type="character" w:customStyle="1" w:styleId="Heading2Char">
    <w:name w:val="Heading 2 Char"/>
    <w:aliases w:val="Header 1 Char,3E Heading 2 Char"/>
    <w:basedOn w:val="DefaultParagraphFont"/>
    <w:link w:val="Heading2"/>
    <w:uiPriority w:val="4"/>
    <w:rsid w:val="00106D24"/>
    <w:rPr>
      <w:rFonts w:ascii="Century Gothic" w:eastAsiaTheme="majorEastAsia" w:hAnsi="Century Gothic" w:cstheme="majorBidi"/>
      <w:b/>
      <w:color w:val="FFC000" w:themeColor="accent4"/>
      <w:sz w:val="32"/>
      <w:szCs w:val="26"/>
    </w:rPr>
  </w:style>
  <w:style w:type="paragraph" w:customStyle="1" w:styleId="TableofContents">
    <w:name w:val="Table of Contents"/>
    <w:basedOn w:val="Normal"/>
    <w:link w:val="TableofContentsChar"/>
    <w:rsid w:val="00B9513E"/>
    <w:pPr>
      <w:spacing w:after="200"/>
    </w:pPr>
    <w:rPr>
      <w:b/>
      <w:color w:val="9BC31A"/>
      <w:sz w:val="28"/>
      <w:lang w:val="fr-FR"/>
    </w:rPr>
  </w:style>
  <w:style w:type="paragraph" w:customStyle="1" w:styleId="BulletList">
    <w:name w:val="Bullet List"/>
    <w:basedOn w:val="Normal"/>
    <w:link w:val="BulletListChar"/>
    <w:qFormat/>
    <w:rsid w:val="00B9513E"/>
    <w:pPr>
      <w:framePr w:wrap="around" w:vAnchor="text" w:hAnchor="text" w:y="1"/>
      <w:numPr>
        <w:numId w:val="1"/>
      </w:numPr>
      <w:spacing w:before="160"/>
    </w:pPr>
    <w:rPr>
      <w:color w:val="000000" w:themeColor="text1"/>
      <w:lang w:val="fr-FR"/>
    </w:rPr>
  </w:style>
  <w:style w:type="character" w:customStyle="1" w:styleId="TableofContentsChar">
    <w:name w:val="Table of Contents Char"/>
    <w:basedOn w:val="DefaultParagraphFont"/>
    <w:link w:val="TableofContents"/>
    <w:rsid w:val="00B9513E"/>
    <w:rPr>
      <w:rFonts w:ascii="Century Gothic" w:hAnsi="Century Gothic"/>
      <w:b/>
      <w:color w:val="9BC31A"/>
      <w:sz w:val="28"/>
      <w:lang w:val="fr-FR"/>
    </w:rPr>
  </w:style>
  <w:style w:type="paragraph" w:customStyle="1" w:styleId="AnnexHeader">
    <w:name w:val="Annex Header"/>
    <w:basedOn w:val="Heading1"/>
    <w:link w:val="AnnexHeaderChar"/>
    <w:rsid w:val="00B9513E"/>
    <w:pPr>
      <w:ind w:left="714" w:hanging="357"/>
    </w:pPr>
    <w:rPr>
      <w:sz w:val="20"/>
      <w:lang w:val="fr-FR"/>
    </w:rPr>
  </w:style>
  <w:style w:type="character" w:customStyle="1" w:styleId="BulletListChar">
    <w:name w:val="Bullet List Char"/>
    <w:basedOn w:val="TableofContentsChar"/>
    <w:link w:val="BulletList"/>
    <w:rsid w:val="00B9513E"/>
    <w:rPr>
      <w:rFonts w:ascii="Century Gothic" w:hAnsi="Century Gothic"/>
      <w:b w:val="0"/>
      <w:color w:val="000000" w:themeColor="text1"/>
      <w:sz w:val="20"/>
      <w:lang w:val="fr-FR"/>
    </w:rPr>
  </w:style>
  <w:style w:type="paragraph" w:customStyle="1" w:styleId="AnnexHead">
    <w:name w:val="Annex Head"/>
    <w:basedOn w:val="Heading1"/>
    <w:link w:val="AnnexHeadChar"/>
    <w:rsid w:val="00DC67A5"/>
  </w:style>
  <w:style w:type="character" w:customStyle="1" w:styleId="AnnexHeaderChar">
    <w:name w:val="Annex Header Char"/>
    <w:basedOn w:val="BulletListChar"/>
    <w:link w:val="AnnexHeader"/>
    <w:rsid w:val="00B9513E"/>
    <w:rPr>
      <w:rFonts w:ascii="Century Gothic" w:eastAsiaTheme="majorEastAsia" w:hAnsi="Century Gothic" w:cstheme="majorBidi"/>
      <w:b/>
      <w:color w:val="FFC000" w:themeColor="accent4"/>
      <w:sz w:val="20"/>
      <w:szCs w:val="32"/>
      <w:lang w:val="fr-FR"/>
    </w:rPr>
  </w:style>
  <w:style w:type="paragraph" w:customStyle="1" w:styleId="TableCaption">
    <w:name w:val="Table Caption"/>
    <w:basedOn w:val="Normal"/>
    <w:link w:val="TableCaptionChar"/>
    <w:rsid w:val="0093648B"/>
    <w:pPr>
      <w:jc w:val="right"/>
    </w:pPr>
    <w:rPr>
      <w:i/>
      <w:color w:val="767171" w:themeColor="background2" w:themeShade="80"/>
      <w:sz w:val="18"/>
    </w:rPr>
  </w:style>
  <w:style w:type="character" w:customStyle="1" w:styleId="AnnexHeadChar">
    <w:name w:val="Annex Head Char"/>
    <w:basedOn w:val="Heading1Char"/>
    <w:link w:val="AnnexHead"/>
    <w:rsid w:val="00DC67A5"/>
    <w:rPr>
      <w:rFonts w:ascii="Century Gothic" w:eastAsiaTheme="majorEastAsia" w:hAnsi="Century Gothic" w:cstheme="majorBidi"/>
      <w:b/>
      <w:color w:val="FFC000" w:themeColor="accent4"/>
      <w:sz w:val="40"/>
      <w:szCs w:val="32"/>
    </w:rPr>
  </w:style>
  <w:style w:type="paragraph" w:customStyle="1" w:styleId="FigureCaption">
    <w:name w:val="Figure Caption"/>
    <w:basedOn w:val="TableCaption"/>
    <w:link w:val="FigureCaptionChar"/>
    <w:rsid w:val="00B9513E"/>
  </w:style>
  <w:style w:type="character" w:customStyle="1" w:styleId="TableCaptionChar">
    <w:name w:val="Table Caption Char"/>
    <w:basedOn w:val="DefaultParagraphFont"/>
    <w:link w:val="TableCaption"/>
    <w:rsid w:val="0093648B"/>
    <w:rPr>
      <w:rFonts w:ascii="Century Gothic" w:hAnsi="Century Gothic"/>
      <w:i/>
      <w:color w:val="767171" w:themeColor="background2" w:themeShade="80"/>
      <w:sz w:val="18"/>
    </w:rPr>
  </w:style>
  <w:style w:type="paragraph" w:customStyle="1" w:styleId="NumberList">
    <w:name w:val="Number List"/>
    <w:basedOn w:val="FigureCaption"/>
    <w:link w:val="NumberListChar"/>
    <w:qFormat/>
    <w:rsid w:val="0082787F"/>
    <w:pPr>
      <w:numPr>
        <w:numId w:val="2"/>
      </w:numPr>
      <w:ind w:left="714" w:hanging="357"/>
      <w:contextualSpacing/>
      <w:jc w:val="left"/>
    </w:pPr>
    <w:rPr>
      <w:i w:val="0"/>
      <w:color w:val="000000" w:themeColor="text1"/>
      <w:sz w:val="20"/>
    </w:rPr>
  </w:style>
  <w:style w:type="character" w:customStyle="1" w:styleId="FigureCaptionChar">
    <w:name w:val="Figure Caption Char"/>
    <w:basedOn w:val="TableCaptionChar"/>
    <w:link w:val="FigureCaption"/>
    <w:rsid w:val="00B9513E"/>
    <w:rPr>
      <w:rFonts w:ascii="Century Gothic" w:hAnsi="Century Gothic"/>
      <w:i/>
      <w:color w:val="767171" w:themeColor="background2" w:themeShade="80"/>
      <w:sz w:val="18"/>
    </w:rPr>
  </w:style>
  <w:style w:type="paragraph" w:customStyle="1" w:styleId="SubnumberList">
    <w:name w:val="Subnumber List"/>
    <w:basedOn w:val="NumberList"/>
    <w:link w:val="SubnumberListChar"/>
    <w:qFormat/>
    <w:rsid w:val="00B9513E"/>
    <w:pPr>
      <w:numPr>
        <w:numId w:val="3"/>
      </w:numPr>
      <w:ind w:left="1661" w:hanging="357"/>
    </w:pPr>
  </w:style>
  <w:style w:type="character" w:customStyle="1" w:styleId="NumberListChar">
    <w:name w:val="Number List Char"/>
    <w:basedOn w:val="FigureCaptionChar"/>
    <w:link w:val="NumberList"/>
    <w:rsid w:val="0082787F"/>
    <w:rPr>
      <w:rFonts w:ascii="Century Gothic" w:hAnsi="Century Gothic"/>
      <w:i w:val="0"/>
      <w:color w:val="000000" w:themeColor="text1"/>
      <w:sz w:val="20"/>
    </w:rPr>
  </w:style>
  <w:style w:type="paragraph" w:customStyle="1" w:styleId="SectionSub-Head">
    <w:name w:val="Section Sub-Head"/>
    <w:basedOn w:val="Heading2"/>
    <w:link w:val="SectionSub-HeadChar"/>
    <w:qFormat/>
    <w:rsid w:val="006B2135"/>
    <w:pPr>
      <w:numPr>
        <w:numId w:val="0"/>
      </w:numPr>
    </w:pPr>
  </w:style>
  <w:style w:type="character" w:customStyle="1" w:styleId="SubnumberListChar">
    <w:name w:val="Subnumber List Char"/>
    <w:basedOn w:val="NumberListChar"/>
    <w:link w:val="SubnumberList"/>
    <w:rsid w:val="00B9513E"/>
    <w:rPr>
      <w:rFonts w:ascii="Century Gothic" w:hAnsi="Century Gothic"/>
      <w:i w:val="0"/>
      <w:color w:val="000000" w:themeColor="text1"/>
      <w:sz w:val="20"/>
    </w:rPr>
  </w:style>
  <w:style w:type="character" w:customStyle="1" w:styleId="Heading3Char">
    <w:name w:val="Heading 3 Char"/>
    <w:aliases w:val="Header 2 Char,3E Heading 3 Char"/>
    <w:basedOn w:val="DefaultParagraphFont"/>
    <w:link w:val="Heading3"/>
    <w:uiPriority w:val="9"/>
    <w:rsid w:val="00B631E3"/>
    <w:rPr>
      <w:rFonts w:ascii="Century Gothic" w:eastAsiaTheme="majorEastAsia" w:hAnsi="Century Gothic" w:cstheme="majorBidi"/>
      <w:b/>
      <w:color w:val="222A35" w:themeColor="text2" w:themeShade="80"/>
      <w:szCs w:val="24"/>
    </w:rPr>
  </w:style>
  <w:style w:type="character" w:customStyle="1" w:styleId="SectionSub-HeadChar">
    <w:name w:val="Section Sub-Head Char"/>
    <w:basedOn w:val="Heading2Char"/>
    <w:link w:val="SectionSub-Head"/>
    <w:rsid w:val="006B2135"/>
    <w:rPr>
      <w:rFonts w:ascii="Century Gothic" w:eastAsiaTheme="majorEastAsia" w:hAnsi="Century Gothic" w:cstheme="majorBidi"/>
      <w:b/>
      <w:color w:val="9BC31A"/>
      <w:sz w:val="32"/>
      <w:szCs w:val="26"/>
      <w:lang w:val="en-GB"/>
    </w:rPr>
  </w:style>
  <w:style w:type="paragraph" w:customStyle="1" w:styleId="Header4">
    <w:name w:val="Header 4"/>
    <w:basedOn w:val="Heading3"/>
    <w:link w:val="Header4Char"/>
    <w:rsid w:val="00BE77B0"/>
    <w:pPr>
      <w:numPr>
        <w:numId w:val="5"/>
      </w:numPr>
    </w:pPr>
    <w:rPr>
      <w:b w:val="0"/>
      <w:color w:val="9BC31A"/>
      <w:sz w:val="20"/>
    </w:rPr>
  </w:style>
  <w:style w:type="paragraph" w:customStyle="1" w:styleId="ToCContent">
    <w:name w:val="ToC Content"/>
    <w:basedOn w:val="Normal"/>
    <w:link w:val="ToCContentChar"/>
    <w:rsid w:val="00734441"/>
  </w:style>
  <w:style w:type="character" w:customStyle="1" w:styleId="Header4Char">
    <w:name w:val="Header 4 Char"/>
    <w:basedOn w:val="Heading3Char"/>
    <w:link w:val="Header4"/>
    <w:rsid w:val="00BE77B0"/>
    <w:rPr>
      <w:rFonts w:ascii="Century Gothic" w:eastAsiaTheme="majorEastAsia" w:hAnsi="Century Gothic" w:cstheme="majorBidi"/>
      <w:b w:val="0"/>
      <w:color w:val="9BC31A"/>
      <w:sz w:val="20"/>
      <w:szCs w:val="24"/>
    </w:rPr>
  </w:style>
  <w:style w:type="paragraph" w:customStyle="1" w:styleId="Bullets">
    <w:name w:val="Bullets"/>
    <w:basedOn w:val="Normal"/>
    <w:link w:val="BulletsChar"/>
    <w:rsid w:val="00AE4D32"/>
    <w:pPr>
      <w:numPr>
        <w:numId w:val="6"/>
      </w:numPr>
      <w:ind w:left="714" w:hanging="357"/>
      <w:contextualSpacing/>
    </w:pPr>
  </w:style>
  <w:style w:type="character" w:customStyle="1" w:styleId="ToCContentChar">
    <w:name w:val="ToC Content Char"/>
    <w:basedOn w:val="DefaultParagraphFont"/>
    <w:link w:val="ToCContent"/>
    <w:rsid w:val="00734441"/>
    <w:rPr>
      <w:rFonts w:ascii="Century Gothic" w:hAnsi="Century Gothic"/>
      <w:sz w:val="20"/>
    </w:rPr>
  </w:style>
  <w:style w:type="paragraph" w:customStyle="1" w:styleId="TableText">
    <w:name w:val="Table Text"/>
    <w:basedOn w:val="Normal"/>
    <w:link w:val="TableTextChar"/>
    <w:rsid w:val="00E46A90"/>
    <w:pPr>
      <w:spacing w:before="40" w:after="40" w:line="240" w:lineRule="auto"/>
      <w:jc w:val="left"/>
    </w:pPr>
    <w:rPr>
      <w:color w:val="767171" w:themeColor="background2" w:themeShade="80"/>
      <w:sz w:val="18"/>
    </w:rPr>
  </w:style>
  <w:style w:type="character" w:customStyle="1" w:styleId="BulletsChar">
    <w:name w:val="Bullets Char"/>
    <w:basedOn w:val="DefaultParagraphFont"/>
    <w:link w:val="Bullets"/>
    <w:rsid w:val="00AE4D32"/>
    <w:rPr>
      <w:rFonts w:ascii="Century Gothic" w:hAnsi="Century Gothic"/>
      <w:sz w:val="20"/>
      <w:lang w:val="en-GB"/>
    </w:rPr>
  </w:style>
  <w:style w:type="table" w:styleId="TableGrid">
    <w:name w:val="Table Grid"/>
    <w:basedOn w:val="TableNormal"/>
    <w:uiPriority w:val="59"/>
    <w:rsid w:val="0008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E46A90"/>
    <w:rPr>
      <w:rFonts w:ascii="Century Gothic" w:hAnsi="Century Gothic"/>
      <w:color w:val="767171" w:themeColor="background2" w:themeShade="80"/>
      <w:sz w:val="18"/>
      <w:lang w:val="en-GB"/>
    </w:rPr>
  </w:style>
  <w:style w:type="table" w:styleId="GridTable3-Accent4">
    <w:name w:val="Grid Table 3 Accent 4"/>
    <w:basedOn w:val="TableNormal"/>
    <w:uiPriority w:val="48"/>
    <w:rsid w:val="0008100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itlePageSubheader">
    <w:name w:val="Title Page Subheader"/>
    <w:link w:val="TitlePageSubheaderChar"/>
    <w:autoRedefine/>
    <w:rsid w:val="00A624D9"/>
    <w:pPr>
      <w:framePr w:wrap="around" w:vAnchor="text" w:hAnchor="text" w:y="1"/>
      <w:spacing w:before="240" w:after="0" w:line="240" w:lineRule="auto"/>
    </w:pPr>
    <w:rPr>
      <w:rFonts w:ascii="Century Gothic" w:eastAsia="Calibri" w:hAnsi="Century Gothic" w:cs="Times New Roman"/>
      <w:color w:val="000000" w:themeColor="text1"/>
      <w:sz w:val="44"/>
      <w:szCs w:val="20"/>
      <w:lang w:eastAsia="nl-NL"/>
    </w:rPr>
  </w:style>
  <w:style w:type="character" w:customStyle="1" w:styleId="TitlePageSubheaderChar">
    <w:name w:val="Title Page Subheader Char"/>
    <w:link w:val="TitlePageSubheader"/>
    <w:rsid w:val="00A624D9"/>
    <w:rPr>
      <w:rFonts w:ascii="Century Gothic" w:eastAsia="Calibri" w:hAnsi="Century Gothic" w:cs="Times New Roman"/>
      <w:color w:val="000000" w:themeColor="text1"/>
      <w:sz w:val="44"/>
      <w:szCs w:val="20"/>
      <w:lang w:eastAsia="nl-NL"/>
    </w:rPr>
  </w:style>
  <w:style w:type="paragraph" w:customStyle="1" w:styleId="FooterSecretariat">
    <w:name w:val="Footer Secretariat"/>
    <w:basedOn w:val="Normal"/>
    <w:autoRedefine/>
    <w:rsid w:val="00001D54"/>
    <w:pPr>
      <w:spacing w:after="0" w:line="312" w:lineRule="auto"/>
    </w:pPr>
    <w:rPr>
      <w:rFonts w:eastAsia="Arial" w:cs="Arial"/>
      <w:color w:val="A6A6A6"/>
      <w:sz w:val="14"/>
      <w:szCs w:val="18"/>
      <w:lang w:eastAsia="fr-FR"/>
    </w:rPr>
  </w:style>
  <w:style w:type="paragraph" w:styleId="TOCHeading">
    <w:name w:val="TOC Heading"/>
    <w:aliases w:val="Title Page Secretariat"/>
    <w:next w:val="Normal"/>
    <w:uiPriority w:val="39"/>
    <w:unhideWhenUsed/>
    <w:qFormat/>
    <w:rsid w:val="00001D54"/>
    <w:pPr>
      <w:keepLines/>
      <w:spacing w:before="240" w:after="0" w:line="240" w:lineRule="auto"/>
    </w:pPr>
    <w:rPr>
      <w:rFonts w:ascii="Century Gothic" w:eastAsiaTheme="majorEastAsia" w:hAnsi="Century Gothic" w:cstheme="majorBidi"/>
      <w:b/>
      <w:sz w:val="108"/>
      <w:szCs w:val="32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A74F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F5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31087"/>
    <w:pPr>
      <w:tabs>
        <w:tab w:val="right" w:leader="dot" w:pos="9016"/>
      </w:tabs>
      <w:spacing w:after="100"/>
      <w:ind w:left="400"/>
    </w:pPr>
    <w:rPr>
      <w:noProof/>
      <w:color w:val="222A35" w:themeColor="text2" w:themeShade="80"/>
    </w:rPr>
  </w:style>
  <w:style w:type="character" w:styleId="Hyperlink">
    <w:name w:val="Hyperlink"/>
    <w:basedOn w:val="DefaultParagraphFont"/>
    <w:uiPriority w:val="99"/>
    <w:unhideWhenUsed/>
    <w:rsid w:val="00A74F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30B"/>
    <w:pPr>
      <w:ind w:left="720"/>
      <w:contextualSpacing/>
    </w:pPr>
  </w:style>
  <w:style w:type="paragraph" w:styleId="FootnoteText">
    <w:name w:val="footnote text"/>
    <w:aliases w:val="3E Footnote Text"/>
    <w:basedOn w:val="Normal"/>
    <w:link w:val="FootnoteTextChar"/>
    <w:uiPriority w:val="99"/>
    <w:unhideWhenUsed/>
    <w:rsid w:val="0032330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3E Footnote Text Char"/>
    <w:basedOn w:val="DefaultParagraphFont"/>
    <w:link w:val="FootnoteText"/>
    <w:uiPriority w:val="6"/>
    <w:rsid w:val="0032330B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33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2330B"/>
    <w:rPr>
      <w:color w:val="605E5C"/>
      <w:shd w:val="clear" w:color="auto" w:fill="E1DFDD"/>
    </w:rPr>
  </w:style>
  <w:style w:type="paragraph" w:customStyle="1" w:styleId="3ETxt">
    <w:name w:val="3E Txt"/>
    <w:basedOn w:val="Normal"/>
    <w:autoRedefine/>
    <w:rsid w:val="0031532F"/>
    <w:pPr>
      <w:spacing w:after="0" w:line="312" w:lineRule="auto"/>
    </w:pPr>
    <w:rPr>
      <w:rFonts w:eastAsia="Arial" w:cs="Arial"/>
      <w:color w:val="222A35" w:themeColor="text2" w:themeShade="80"/>
      <w:sz w:val="22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1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link w:val="CaptionChar"/>
    <w:uiPriority w:val="3"/>
    <w:qFormat/>
    <w:rsid w:val="00DF6863"/>
    <w:pPr>
      <w:spacing w:after="200" w:line="240" w:lineRule="auto"/>
    </w:pPr>
    <w:rPr>
      <w:rFonts w:eastAsia="Calibri" w:cs="Times New Roman"/>
      <w:iCs/>
      <w:sz w:val="18"/>
      <w:szCs w:val="18"/>
      <w:lang w:eastAsia="nl-NL"/>
    </w:rPr>
  </w:style>
  <w:style w:type="paragraph" w:customStyle="1" w:styleId="3EBulletList">
    <w:name w:val="3E Bullet List"/>
    <w:basedOn w:val="Normal"/>
    <w:link w:val="3EBulletListCharChar"/>
    <w:autoRedefine/>
    <w:uiPriority w:val="1"/>
    <w:rsid w:val="00B631E3"/>
    <w:pPr>
      <w:numPr>
        <w:numId w:val="13"/>
      </w:numPr>
      <w:spacing w:before="120" w:after="120" w:line="312" w:lineRule="auto"/>
      <w:contextualSpacing/>
      <w:jc w:val="left"/>
    </w:pPr>
    <w:rPr>
      <w:rFonts w:ascii="Open Sans" w:eastAsia="Calibri" w:hAnsi="Open Sans" w:cs="Times New Roman"/>
      <w:i/>
      <w:color w:val="44546A" w:themeColor="text2"/>
      <w:sz w:val="18"/>
      <w:szCs w:val="20"/>
      <w:lang w:eastAsia="nl-NL"/>
    </w:rPr>
  </w:style>
  <w:style w:type="numbering" w:customStyle="1" w:styleId="3EMultilevellist">
    <w:name w:val="3E Multilevel list"/>
    <w:uiPriority w:val="99"/>
    <w:rsid w:val="00B631E3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4"/>
    <w:rsid w:val="00B631E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TableNumber">
    <w:name w:val="Table Number"/>
    <w:basedOn w:val="TableText"/>
    <w:uiPriority w:val="8"/>
    <w:semiHidden/>
    <w:locked/>
    <w:rsid w:val="00B631E3"/>
    <w:pPr>
      <w:numPr>
        <w:numId w:val="16"/>
      </w:numPr>
      <w:tabs>
        <w:tab w:val="clear" w:pos="360"/>
      </w:tabs>
      <w:spacing w:before="0" w:after="0" w:line="312" w:lineRule="auto"/>
      <w:jc w:val="both"/>
    </w:pPr>
    <w:rPr>
      <w:rFonts w:ascii="Open Sans" w:eastAsia="Calibri" w:hAnsi="Open Sans" w:cs="Times New Roman"/>
      <w:color w:val="44546A" w:themeColor="text2"/>
      <w:szCs w:val="20"/>
      <w:lang w:eastAsia="nl-NL"/>
    </w:rPr>
  </w:style>
  <w:style w:type="character" w:customStyle="1" w:styleId="3EBulletListCharChar">
    <w:name w:val="3E Bullet List Char Char"/>
    <w:link w:val="3EBulletList"/>
    <w:uiPriority w:val="1"/>
    <w:rsid w:val="00B631E3"/>
    <w:rPr>
      <w:rFonts w:ascii="Open Sans" w:eastAsia="Calibri" w:hAnsi="Open Sans" w:cs="Times New Roman"/>
      <w:i/>
      <w:color w:val="44546A" w:themeColor="text2"/>
      <w:sz w:val="18"/>
      <w:szCs w:val="20"/>
      <w:lang w:val="en-GB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2F5A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E48F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82DD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TAP-TableHeaderCenter">
    <w:name w:val="TAP - Table Header [Center]"/>
    <w:basedOn w:val="Normal"/>
    <w:rsid w:val="00C52ED4"/>
    <w:pPr>
      <w:spacing w:after="0" w:line="240" w:lineRule="auto"/>
      <w:jc w:val="center"/>
    </w:pPr>
    <w:rPr>
      <w:rFonts w:eastAsia="Times New Roman" w:cs="Times New Roman"/>
      <w:b/>
      <w:bCs/>
      <w:color w:val="FFFFFF"/>
      <w:szCs w:val="24"/>
      <w:lang w:val="en-US"/>
    </w:rPr>
  </w:style>
  <w:style w:type="table" w:styleId="PlainTable3">
    <w:name w:val="Plain Table 3"/>
    <w:basedOn w:val="TableNormal"/>
    <w:uiPriority w:val="43"/>
    <w:rsid w:val="00072B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5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9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98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98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98"/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Caption"/>
    <w:link w:val="captionChar0"/>
    <w:rsid w:val="000D0BB0"/>
    <w:pPr>
      <w:keepNext/>
    </w:pPr>
  </w:style>
  <w:style w:type="character" w:customStyle="1" w:styleId="CaptionChar">
    <w:name w:val="Caption Char"/>
    <w:basedOn w:val="DefaultParagraphFont"/>
    <w:link w:val="Caption"/>
    <w:uiPriority w:val="3"/>
    <w:rsid w:val="00DF6863"/>
    <w:rPr>
      <w:rFonts w:ascii="Century Gothic" w:eastAsia="Calibri" w:hAnsi="Century Gothic" w:cs="Times New Roman"/>
      <w:iCs/>
      <w:sz w:val="18"/>
      <w:szCs w:val="18"/>
      <w:lang w:eastAsia="nl-NL"/>
    </w:rPr>
  </w:style>
  <w:style w:type="character" w:customStyle="1" w:styleId="captionChar0">
    <w:name w:val="caption Char"/>
    <w:basedOn w:val="CaptionChar"/>
    <w:link w:val="Caption1"/>
    <w:rsid w:val="000D0BB0"/>
    <w:rPr>
      <w:rFonts w:ascii="Century Gothic" w:eastAsia="Calibri" w:hAnsi="Century Gothic" w:cs="Times New Roman"/>
      <w:i w:val="0"/>
      <w:iCs/>
      <w:color w:val="44546A" w:themeColor="text2"/>
      <w:sz w:val="18"/>
      <w:szCs w:val="18"/>
      <w:lang w:eastAsia="nl-NL"/>
    </w:rPr>
  </w:style>
  <w:style w:type="paragraph" w:customStyle="1" w:styleId="Header3">
    <w:name w:val="Header 3"/>
    <w:basedOn w:val="Heading9"/>
    <w:link w:val="Header3Char"/>
    <w:qFormat/>
    <w:rsid w:val="00FC3E23"/>
    <w:pPr>
      <w:spacing w:before="160" w:after="120"/>
    </w:pPr>
    <w:rPr>
      <w:rFonts w:ascii="Century Gothic" w:hAnsi="Century Gothic"/>
      <w:b/>
      <w:i w:val="0"/>
      <w:color w:val="7F7F7F" w:themeColor="text1" w:themeTint="80"/>
      <w:sz w:val="20"/>
    </w:rPr>
  </w:style>
  <w:style w:type="character" w:customStyle="1" w:styleId="Header3Char">
    <w:name w:val="Header 3 Char"/>
    <w:basedOn w:val="Heading9Char"/>
    <w:link w:val="Header3"/>
    <w:rsid w:val="00FC3E23"/>
    <w:rPr>
      <w:rFonts w:ascii="Century Gothic" w:eastAsiaTheme="majorEastAsia" w:hAnsi="Century Gothic" w:cstheme="majorBidi"/>
      <w:b/>
      <w:i w:val="0"/>
      <w:iCs/>
      <w:color w:val="7F7F7F" w:themeColor="text1" w:themeTint="8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translate.google.com/translate?hl=hr&amp;prev=_t&amp;sl=de&amp;tl=hr&amp;u=http://publications.jrc.ec.europa.eu/repository/bitstream/JRC112986/jrc112986_kj-nb-29412-en-n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ranslate.google.com/translate?hl=hr&amp;prev=_t&amp;sl=de&amp;tl=hr&amp;u=https://euislands.eu/transition-indicator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translate.google.com/translate?hl=hr&amp;prev=_t&amp;sl=de&amp;tl=hr&amp;u=http://www.euislands.e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nfo@euislands.eu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islands.e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translate.google.com/translate?hl=hr&amp;prev=_t&amp;sl=de&amp;tl=hr&amp;u=https://www.euislands.eu/library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www.euislands.eu/" TargetMode="External"/><Relationship Id="rId19" Type="http://schemas.openxmlformats.org/officeDocument/2006/relationships/hyperlink" Target="https://translate.google.com/translate?hl=hr&amp;prev=_t&amp;sl=de&amp;tl=hr&amp;u=https://euislands.eu/libr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publications.jrc.ec.europa.eu/repository/bitstream/JRC112986/jrc112986_kj-nb-29412-en-n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D24F-0807-4549-91CF-AF5B57F7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3105</Words>
  <Characters>17701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Castanié</dc:creator>
  <cp:keywords/>
  <dc:description/>
  <cp:lastModifiedBy>Myriam Castanié</cp:lastModifiedBy>
  <cp:revision>4</cp:revision>
  <dcterms:created xsi:type="dcterms:W3CDTF">2020-02-04T15:10:00Z</dcterms:created>
  <dcterms:modified xsi:type="dcterms:W3CDTF">2020-03-03T10:21:00Z</dcterms:modified>
</cp:coreProperties>
</file>