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AB4A3" w14:textId="77777777" w:rsidR="00C0096B" w:rsidRDefault="00AC7A60">
      <w:pPr>
        <w:pStyle w:val="Title"/>
        <w:tabs>
          <w:tab w:val="left" w:pos="8789"/>
        </w:tabs>
        <w:ind w:right="-172"/>
        <w:rPr>
          <w:rFonts w:cstheme="minorHAnsi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3866C" wp14:editId="6D98B580">
                <wp:simplePos x="0" y="0"/>
                <wp:positionH relativeFrom="column">
                  <wp:posOffset>4336415</wp:posOffset>
                </wp:positionH>
                <wp:positionV relativeFrom="paragraph">
                  <wp:posOffset>621030</wp:posOffset>
                </wp:positionV>
                <wp:extent cx="1259840" cy="1259840"/>
                <wp:effectExtent l="0" t="0" r="1651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996A9F" w14:textId="77777777" w:rsidR="00C0096B" w:rsidRDefault="00C0096B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</w:p>
                          <w:p w14:paraId="799C3465" w14:textId="77777777" w:rsidR="00C0096B" w:rsidRDefault="00AC7A60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highlight w:val="green"/>
                                <w:lang w:val="pt-PT"/>
                              </w:rPr>
                              <w:t>[INSIRA AQUI O SÍMBOLO DA ILHA]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341.45pt;margin-top:48.9pt;height:99.2pt;width:99.2pt;z-index:251666432;mso-width-relative:page;mso-height-relative:page;" fillcolor="#FFFFFF" filled="t" stroked="t" coordsize="21600,21600" o:gfxdata="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IXqyDZAAAACgEAAA8AAAAAAAAA&#10;AQAgAAAAIgAAAGRycy9kb3ducmV2LnhtbFBLAQIUABQAAAAIAIdO4kBqtqUzEAIAADkEAAAOAAAA&#10;AAAAAAEAIAAAACg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highlight w:val="green"/>
                        </w:rPr>
                      </w:pPr>
                    </w:p>
                    <w:p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highlight w:val="green"/>
                          <w:lang w:val="pt-PT"/>
                        </w:rPr>
                        <w:t>[INSIRA AQUI O SÍMBOLO DA ILHA]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PT"/>
        </w:rPr>
        <w:drawing>
          <wp:anchor distT="0" distB="0" distL="114300" distR="114300" simplePos="0" relativeHeight="251660288" behindDoc="0" locked="0" layoutInCell="1" allowOverlap="1" wp14:anchorId="1677D6AE" wp14:editId="0E738956">
            <wp:simplePos x="0" y="0"/>
            <wp:positionH relativeFrom="column">
              <wp:posOffset>3901440</wp:posOffset>
            </wp:positionH>
            <wp:positionV relativeFrom="paragraph">
              <wp:posOffset>-202565</wp:posOffset>
            </wp:positionV>
            <wp:extent cx="2040890" cy="539750"/>
            <wp:effectExtent l="0" t="0" r="0" b="0"/>
            <wp:wrapNone/>
            <wp:docPr id="15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8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0CD26" w14:textId="77777777" w:rsidR="00C0096B" w:rsidRDefault="00C0096B">
      <w:pPr>
        <w:rPr>
          <w:rFonts w:cs="Calibri"/>
          <w:b/>
          <w:sz w:val="24"/>
          <w:szCs w:val="24"/>
          <w:lang w:val="pt-PT"/>
        </w:rPr>
      </w:pPr>
    </w:p>
    <w:p w14:paraId="052AEF11" w14:textId="77777777" w:rsidR="00C0096B" w:rsidRDefault="00C0096B">
      <w:pPr>
        <w:rPr>
          <w:rFonts w:cs="Calibri"/>
          <w:b/>
          <w:sz w:val="24"/>
          <w:szCs w:val="24"/>
          <w:lang w:val="pt-PT"/>
        </w:rPr>
      </w:pPr>
    </w:p>
    <w:p w14:paraId="5B2224DC" w14:textId="77777777" w:rsidR="00C0096B" w:rsidRDefault="00C0096B">
      <w:pPr>
        <w:rPr>
          <w:rFonts w:cs="Calibri"/>
          <w:b/>
          <w:sz w:val="24"/>
          <w:szCs w:val="24"/>
          <w:lang w:val="pt-PT"/>
        </w:rPr>
      </w:pPr>
    </w:p>
    <w:p w14:paraId="47ECF9E8" w14:textId="77777777" w:rsidR="00C0096B" w:rsidRDefault="00C0096B">
      <w:pPr>
        <w:rPr>
          <w:rFonts w:cs="Calibri"/>
          <w:b/>
          <w:sz w:val="24"/>
          <w:szCs w:val="24"/>
          <w:lang w:val="pt-PT"/>
        </w:rPr>
      </w:pPr>
    </w:p>
    <w:p w14:paraId="693C1CB5" w14:textId="77777777" w:rsidR="00C0096B" w:rsidRDefault="00AC7A60">
      <w:pPr>
        <w:pStyle w:val="Cabealhodondice1"/>
        <w:rPr>
          <w:lang w:val="pt-PT"/>
        </w:rPr>
      </w:pPr>
      <w:r>
        <w:rPr>
          <w:i/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01685D98" wp14:editId="1BDB5049">
            <wp:simplePos x="0" y="0"/>
            <wp:positionH relativeFrom="column">
              <wp:posOffset>-4688840</wp:posOffset>
            </wp:positionH>
            <wp:positionV relativeFrom="page">
              <wp:posOffset>1173480</wp:posOffset>
            </wp:positionV>
            <wp:extent cx="8337550" cy="8305165"/>
            <wp:effectExtent l="0" t="0" r="635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600" cy="83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PT"/>
        </w:rPr>
        <w:t>AGENDA DE TRANSIÇÃO PARA ENERGIA LIMPA</w:t>
      </w:r>
    </w:p>
    <w:p w14:paraId="42264D61" w14:textId="77777777" w:rsidR="00C0096B" w:rsidRDefault="00AC7A60">
      <w:pPr>
        <w:pStyle w:val="TitlePageSubheader"/>
        <w:framePr w:wrap="around"/>
        <w:rPr>
          <w:lang w:val="pt-PT"/>
        </w:rPr>
      </w:pPr>
      <w:r>
        <w:rPr>
          <w:highlight w:val="green"/>
          <w:lang w:val="pt-PT"/>
        </w:rPr>
        <w:t>[INSERIR NOME DA ILHA]</w:t>
      </w:r>
    </w:p>
    <w:p w14:paraId="52736538" w14:textId="77777777" w:rsidR="00C0096B" w:rsidRDefault="00C0096B">
      <w:pPr>
        <w:rPr>
          <w:rFonts w:cstheme="minorHAnsi"/>
          <w:lang w:val="pt-PT"/>
        </w:rPr>
      </w:pPr>
    </w:p>
    <w:p w14:paraId="2FFEED29" w14:textId="77777777" w:rsidR="00C0096B" w:rsidRDefault="00C0096B">
      <w:pPr>
        <w:rPr>
          <w:rFonts w:cstheme="minorHAnsi"/>
          <w:lang w:val="pt-PT"/>
        </w:rPr>
      </w:pPr>
    </w:p>
    <w:p w14:paraId="61DD133C" w14:textId="77777777" w:rsidR="00C0096B" w:rsidRDefault="00AC7A60">
      <w:pPr>
        <w:rPr>
          <w:rFonts w:cstheme="minorHAnsi"/>
          <w:lang w:val="pt-PT"/>
        </w:rPr>
      </w:pPr>
      <w:r>
        <w:rPr>
          <w:rFonts w:eastAsia="Calibri" w:cs="Times New Roman"/>
          <w:color w:val="000000" w:themeColor="text1"/>
          <w:sz w:val="40"/>
          <w:szCs w:val="20"/>
          <w:highlight w:val="yellow"/>
          <w:lang w:val="pt-PT" w:eastAsia="nl-NL"/>
        </w:rPr>
        <w:t>Versão Mês Ano</w:t>
      </w:r>
    </w:p>
    <w:p w14:paraId="7937E0BA" w14:textId="77777777" w:rsidR="00C0096B" w:rsidRDefault="00C0096B">
      <w:pPr>
        <w:rPr>
          <w:rFonts w:cstheme="minorHAnsi"/>
          <w:lang w:val="pt-PT"/>
        </w:rPr>
      </w:pPr>
    </w:p>
    <w:p w14:paraId="6FB52A0A" w14:textId="77777777" w:rsidR="00C0096B" w:rsidRDefault="00C0096B">
      <w:pPr>
        <w:rPr>
          <w:rFonts w:cstheme="minorHAnsi"/>
          <w:lang w:val="pt-PT"/>
        </w:rPr>
      </w:pPr>
    </w:p>
    <w:p w14:paraId="141AC62F" w14:textId="77777777" w:rsidR="00C0096B" w:rsidRDefault="00C0096B">
      <w:pPr>
        <w:rPr>
          <w:rFonts w:cstheme="minorHAnsi"/>
          <w:lang w:val="pt-PT"/>
        </w:rPr>
      </w:pPr>
    </w:p>
    <w:p w14:paraId="6231B8FC" w14:textId="77777777" w:rsidR="00C0096B" w:rsidRDefault="00C0096B">
      <w:pPr>
        <w:rPr>
          <w:rFonts w:cstheme="minorHAnsi"/>
          <w:lang w:val="pt-PT"/>
        </w:rPr>
      </w:pPr>
    </w:p>
    <w:p w14:paraId="2892996E" w14:textId="77777777" w:rsidR="00C0096B" w:rsidRDefault="00C0096B">
      <w:pPr>
        <w:rPr>
          <w:rFonts w:cstheme="minorHAnsi"/>
          <w:lang w:val="pt-PT"/>
        </w:rPr>
      </w:pPr>
    </w:p>
    <w:p w14:paraId="1B14CA6F" w14:textId="77777777" w:rsidR="00C0096B" w:rsidRDefault="00C0096B">
      <w:pPr>
        <w:rPr>
          <w:rFonts w:cstheme="minorHAnsi"/>
          <w:lang w:val="pt-PT"/>
        </w:rPr>
      </w:pPr>
    </w:p>
    <w:p w14:paraId="07A6C404" w14:textId="77777777" w:rsidR="00C0096B" w:rsidRDefault="00C0096B">
      <w:pPr>
        <w:rPr>
          <w:rFonts w:cstheme="minorHAnsi"/>
          <w:lang w:val="pt-PT"/>
        </w:rPr>
      </w:pPr>
    </w:p>
    <w:p w14:paraId="23BA9011" w14:textId="77777777" w:rsidR="00C0096B" w:rsidRDefault="00AC7A60">
      <w:pPr>
        <w:rPr>
          <w:rFonts w:cstheme="minorHAnsi"/>
          <w:lang w:val="pt-PT"/>
        </w:rPr>
      </w:pPr>
      <w:r>
        <w:rPr>
          <w:rFonts w:cstheme="minorHAnsi"/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A3BF9C" wp14:editId="6FFAA6C3">
                <wp:simplePos x="0" y="0"/>
                <wp:positionH relativeFrom="column">
                  <wp:posOffset>-45085</wp:posOffset>
                </wp:positionH>
                <wp:positionV relativeFrom="page">
                  <wp:posOffset>9616440</wp:posOffset>
                </wp:positionV>
                <wp:extent cx="5104765" cy="8318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81B17F1" w14:textId="77777777" w:rsidR="00C0096B" w:rsidRDefault="00AC7A60">
                            <w:pPr>
                              <w:ind w:right="153"/>
                              <w:rPr>
                                <w:rFonts w:cstheme="minorHAnsi"/>
                                <w:lang w:val="en-US"/>
                              </w:rPr>
                            </w:pPr>
                            <w:bookmarkStart w:id="0" w:name="_Hlk534638098"/>
                            <w:bookmarkStart w:id="1" w:name="_Hlk534638097"/>
                            <w:bookmarkStart w:id="2" w:name="_Hlk534638128"/>
                            <w:bookmarkStart w:id="3" w:name="_Hlk534638129"/>
                            <w:r>
                              <w:rPr>
                                <w:rFonts w:eastAsia="Informative" w:cstheme="minorHAnsi"/>
                                <w:b/>
                                <w:lang w:val="en-US"/>
                              </w:rPr>
                              <w:t xml:space="preserve">CLEAN ENERGY FOR EU ISLANDS </w:t>
                            </w:r>
                          </w:p>
                          <w:p w14:paraId="02724668" w14:textId="77777777" w:rsidR="00C0096B" w:rsidRDefault="00AC7A60">
                            <w:pPr>
                              <w:spacing w:after="3"/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lang w:val="en-US"/>
                              </w:rPr>
                              <w:t>Secretariado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en-US"/>
                              </w:rPr>
                              <w:t xml:space="preserve"> • Rue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lang w:val="en-US"/>
                              </w:rPr>
                              <w:t>d‘</w:t>
                            </w:r>
                            <w:proofErr w:type="gramEnd"/>
                            <w:r>
                              <w:rPr>
                                <w:rFonts w:cstheme="minorHAnsi"/>
                                <w:lang w:val="en-US"/>
                              </w:rPr>
                              <w:t>Arlon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en-US"/>
                              </w:rPr>
                              <w:t xml:space="preserve"> 63, BE-1000 Brussels </w:t>
                            </w:r>
                          </w:p>
                          <w:p w14:paraId="7503ACB0" w14:textId="77777777" w:rsidR="00C0096B" w:rsidRDefault="00AC7A60">
                            <w:pPr>
                              <w:pStyle w:val="FooterSecretariat"/>
                              <w:rPr>
                                <w:rFonts w:cstheme="minorHAnsi"/>
                                <w:color w:val="auto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Telef</w:t>
                            </w:r>
                            <w:proofErr w:type="spellEnd"/>
                            <w:proofErr w:type="gramStart"/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+32 2 400 10 67 • E-mail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info@euislands.eu •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>euislands.eu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hyperlink>
                          </w:p>
                          <w:p w14:paraId="2904E2E3" w14:textId="77777777" w:rsidR="00C0096B" w:rsidRDefault="00C0096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3.55pt;margin-top:757.2pt;height:65.5pt;width:401.95pt;mso-position-vertical-relative:page;z-index:251661312;mso-width-relative:page;mso-height-relative:page;" filled="f" stroked="f" coordsize="21600,21600" o:gfxdata="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X6pe1wAAAAwBAAAPAAAAAAAAAAEAIAAAACIAAABkcnMvZG93bnJldi54&#10;bWxQSwECFAAUAAAACACHTuJAgh+qO/sBAADcAwAADgAAAAAAAAABACAAAAAmAQAAZHJzL2Uyb0Rv&#10;Yy54bWxQSwUGAAAAAAYABgBZAQAAk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right="153"/>
                        <w:rPr>
                          <w:rFonts w:cstheme="minorHAnsi"/>
                          <w:lang w:val="en-US"/>
                        </w:rPr>
                      </w:pPr>
                      <w:bookmarkStart w:id="47" w:name="_Hlk534638098"/>
                      <w:bookmarkStart w:id="48" w:name="_Hlk534638097"/>
                      <w:bookmarkStart w:id="49" w:name="_Hlk534638128"/>
                      <w:bookmarkStart w:id="50" w:name="_Hlk534638129"/>
                      <w:r>
                        <w:rPr>
                          <w:rFonts w:eastAsia="Informative" w:cstheme="minorHAnsi"/>
                          <w:b/>
                          <w:lang w:val="en-US"/>
                        </w:rPr>
                        <w:t xml:space="preserve">CLEAN ENERGY FOR EU ISLANDS </w:t>
                      </w:r>
                    </w:p>
                    <w:p>
                      <w:pPr>
                        <w:spacing w:after="3"/>
                        <w:rPr>
                          <w:rFonts w:cstheme="minorHAnsi"/>
                          <w:lang w:val="en-US"/>
                        </w:rPr>
                      </w:pPr>
                      <w:r>
                        <w:rPr>
                          <w:rFonts w:cstheme="minorHAnsi"/>
                          <w:lang w:val="en-US"/>
                        </w:rPr>
                        <w:t xml:space="preserve">Secretariado • Rue d‘Arlon 63, BE-1000 Brussels </w:t>
                      </w:r>
                    </w:p>
                    <w:p>
                      <w:pPr>
                        <w:pStyle w:val="77"/>
                        <w:rPr>
                          <w:rFonts w:cstheme="minorHAnsi"/>
                          <w:color w:val="auto"/>
                          <w:lang w:val="fr-FR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>Telef.</w:t>
                      </w: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+32 2 400 10 67 • E-mail</w:t>
                      </w: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info@euislands.eu • Website</w:t>
                      </w: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"https://www.euislands.eu/" </w:instrText>
                      </w:r>
                      <w:r>
                        <w:fldChar w:fldCharType="separate"/>
                      </w:r>
                      <w:r>
                        <w:rPr>
                          <w:rStyle w:val="22"/>
                          <w:rFonts w:cstheme="minorHAnsi"/>
                          <w:sz w:val="20"/>
                          <w:szCs w:val="20"/>
                          <w:lang w:val="fr-FR"/>
                        </w:rPr>
                        <w:t>euislands.eu</w:t>
                      </w:r>
                      <w:bookmarkEnd w:id="47"/>
                      <w:bookmarkEnd w:id="48"/>
                      <w:bookmarkEnd w:id="49"/>
                      <w:bookmarkEnd w:id="50"/>
                      <w:r>
                        <w:rPr>
                          <w:rStyle w:val="22"/>
                          <w:rFonts w:cstheme="minorHAnsi"/>
                          <w:sz w:val="20"/>
                          <w:szCs w:val="20"/>
                          <w:lang w:val="fr-FR"/>
                        </w:rPr>
                        <w:fldChar w:fldCharType="end"/>
                      </w:r>
                    </w:p>
                    <w:p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5A202" w14:textId="77777777" w:rsidR="00C0096B" w:rsidRDefault="00C0096B">
      <w:pPr>
        <w:rPr>
          <w:rFonts w:cstheme="minorHAnsi"/>
          <w:lang w:val="pt-PT"/>
        </w:rPr>
      </w:pPr>
    </w:p>
    <w:p w14:paraId="6F950BA7" w14:textId="77777777" w:rsidR="00C0096B" w:rsidRDefault="00C0096B">
      <w:pPr>
        <w:rPr>
          <w:rFonts w:cstheme="minorHAnsi"/>
          <w:lang w:val="pt-PT"/>
        </w:rPr>
        <w:sectPr w:rsidR="00C0096B">
          <w:headerReference w:type="default" r:id="rId12"/>
          <w:footerReference w:type="default" r:id="rId13"/>
          <w:headerReference w:type="first" r:id="rId14"/>
          <w:pgSz w:w="11906" w:h="16838"/>
          <w:pgMar w:top="567" w:right="1871" w:bottom="567" w:left="1871" w:header="425" w:footer="510" w:gutter="0"/>
          <w:cols w:space="708"/>
          <w:titlePg/>
          <w:docGrid w:linePitch="245"/>
        </w:sectPr>
      </w:pPr>
    </w:p>
    <w:p w14:paraId="43ECF935" w14:textId="77777777" w:rsidR="00C0096B" w:rsidRDefault="00AC7A60">
      <w:pPr>
        <w:pStyle w:val="Heading2"/>
        <w:numPr>
          <w:ilvl w:val="0"/>
          <w:numId w:val="0"/>
        </w:numPr>
        <w:jc w:val="left"/>
        <w:rPr>
          <w:lang w:val="pt-PT"/>
        </w:rPr>
      </w:pPr>
      <w:bookmarkStart w:id="4" w:name="_Toc30430901"/>
      <w:bookmarkStart w:id="5" w:name="_Toc2694393"/>
      <w:bookmarkStart w:id="6" w:name="_Toc2694287"/>
      <w:r>
        <w:rPr>
          <w:lang w:val="pt-PT"/>
        </w:rPr>
        <w:lastRenderedPageBreak/>
        <w:t>Introdução para os autores da Agenda de Transição para Energia Limpa</w:t>
      </w:r>
      <w:bookmarkEnd w:id="4"/>
    </w:p>
    <w:p w14:paraId="752143B0" w14:textId="77777777" w:rsidR="00C0096B" w:rsidRDefault="00AC7A60">
      <w:pPr>
        <w:spacing w:line="240" w:lineRule="auto"/>
        <w:rPr>
          <w:color w:val="2F5496" w:themeColor="accent1" w:themeShade="BF"/>
          <w:lang w:val="pt-PT"/>
        </w:rPr>
      </w:pPr>
      <w:r>
        <w:rPr>
          <w:color w:val="2F5496" w:themeColor="accent1" w:themeShade="BF"/>
          <w:lang w:val="pt-PT"/>
        </w:rPr>
        <w:t xml:space="preserve">A </w:t>
      </w:r>
      <w:r>
        <w:rPr>
          <w:b/>
          <w:color w:val="2F5496" w:themeColor="accent1" w:themeShade="BF"/>
          <w:lang w:val="pt-PT"/>
        </w:rPr>
        <w:t>Agenda de Transição para Energia Limpa</w:t>
      </w:r>
      <w:r>
        <w:rPr>
          <w:color w:val="2F5496" w:themeColor="accent1" w:themeShade="BF"/>
          <w:lang w:val="pt-PT"/>
        </w:rPr>
        <w:t xml:space="preserve"> é um roteiro estratégico para a transição da sua ilha para a energias limpas, como desejado pela comunidade da ilha. É o resultado de um processo participativo que reúne todas as partes interessadas relevantes para analisar a dinâmica da ilha, desenvolver uma visão partilhada e construir caminhos de transição para esta visão. A Agenda de Transição estabelece a base estratégica para desenvolver planos de descarbonização que cobrem os aspetos técnicos, financeiros e organizacionais da transição da sua ilha para as energias limpas. </w:t>
      </w:r>
    </w:p>
    <w:p w14:paraId="182EA430" w14:textId="77777777" w:rsidR="00C0096B" w:rsidRDefault="00AC7A60">
      <w:pPr>
        <w:spacing w:line="240" w:lineRule="auto"/>
        <w:rPr>
          <w:color w:val="2F5496" w:themeColor="accent1" w:themeShade="BF"/>
          <w:lang w:val="pt-PT"/>
        </w:rPr>
      </w:pPr>
      <w:r>
        <w:rPr>
          <w:color w:val="2F5496" w:themeColor="accent1" w:themeShade="BF"/>
          <w:lang w:val="pt-PT"/>
        </w:rPr>
        <w:t xml:space="preserve">Como um complemento a este modelo, o </w:t>
      </w:r>
      <w:r>
        <w:rPr>
          <w:b/>
          <w:color w:val="2F5496" w:themeColor="accent1" w:themeShade="BF"/>
          <w:lang w:val="pt-PT"/>
        </w:rPr>
        <w:t>Manual de Transição das Ilhas</w:t>
      </w:r>
      <w:r>
        <w:rPr>
          <w:color w:val="2F5496" w:themeColor="accent1" w:themeShade="BF"/>
          <w:lang w:val="pt-PT"/>
        </w:rPr>
        <w:t xml:space="preserve"> guia as comunidades insulares através do processo de elaboração da Agenda de Transição. O manual está disponível </w:t>
      </w:r>
      <w:r w:rsidR="001D226C">
        <w:fldChar w:fldCharType="begin"/>
      </w:r>
      <w:r w:rsidR="001D226C" w:rsidRPr="00E87DCB">
        <w:rPr>
          <w:lang w:val="pt-PT"/>
        </w:rPr>
        <w:instrText xml:space="preserve"> HYPERLINK "https://www.euislands.eu/library" </w:instrText>
      </w:r>
      <w:r w:rsidR="001D226C">
        <w:fldChar w:fldCharType="separate"/>
      </w:r>
      <w:r>
        <w:rPr>
          <w:rStyle w:val="Hyperlink"/>
          <w:lang w:val="pt-PT"/>
        </w:rPr>
        <w:t>online</w:t>
      </w:r>
      <w:r w:rsidR="001D226C">
        <w:rPr>
          <w:rStyle w:val="Hyperlink"/>
          <w:lang w:val="pt-PT"/>
        </w:rPr>
        <w:fldChar w:fldCharType="end"/>
      </w:r>
      <w:r>
        <w:rPr>
          <w:color w:val="2F5496" w:themeColor="accent1" w:themeShade="BF"/>
          <w:lang w:val="pt-PT"/>
        </w:rPr>
        <w:t>.  As secções e subsecções deste modelo referem-se a capítulos específicos do Manual de Transição das Ilhas.</w:t>
      </w:r>
    </w:p>
    <w:p w14:paraId="505D729E" w14:textId="77777777" w:rsidR="00C0096B" w:rsidRDefault="00AC7A60">
      <w:pPr>
        <w:spacing w:line="240" w:lineRule="auto"/>
        <w:rPr>
          <w:color w:val="2F5496" w:themeColor="accent1" w:themeShade="BF"/>
          <w:lang w:val="pt-PT"/>
        </w:rPr>
      </w:pPr>
      <w:r>
        <w:rPr>
          <w:color w:val="2F5496" w:themeColor="accent1" w:themeShade="BF"/>
          <w:lang w:val="pt-PT"/>
        </w:rPr>
        <w:t xml:space="preserve">Este modelo é fornecido em inglês, mas os autores são encorajados a traduzi-lo para o idioma local. O conteúdo que os autores precisam de modificar é destacado em </w:t>
      </w:r>
      <w:r>
        <w:rPr>
          <w:color w:val="2F5496" w:themeColor="accent1" w:themeShade="BF"/>
          <w:highlight w:val="green"/>
          <w:lang w:val="pt-PT"/>
        </w:rPr>
        <w:t>[parênteses verdes]</w:t>
      </w:r>
      <w:r>
        <w:rPr>
          <w:color w:val="2F5496" w:themeColor="accent1" w:themeShade="BF"/>
          <w:lang w:val="pt-PT"/>
        </w:rPr>
        <w:t xml:space="preserve">. As descrições de como preencher a agenda estão escritas em </w:t>
      </w:r>
      <w:r>
        <w:rPr>
          <w:i/>
          <w:color w:val="2F5496" w:themeColor="accent1" w:themeShade="BF"/>
          <w:lang w:val="pt-PT"/>
        </w:rPr>
        <w:t>itálico azul</w:t>
      </w:r>
      <w:r>
        <w:rPr>
          <w:color w:val="2F5496" w:themeColor="accent1" w:themeShade="BF"/>
          <w:lang w:val="pt-PT"/>
        </w:rPr>
        <w:t xml:space="preserve">. Por favor, remova tanto </w:t>
      </w:r>
      <w:r>
        <w:rPr>
          <w:color w:val="2F5496" w:themeColor="accent1" w:themeShade="BF"/>
          <w:highlight w:val="green"/>
          <w:lang w:val="pt-PT"/>
        </w:rPr>
        <w:t>os destaques</w:t>
      </w:r>
      <w:r>
        <w:rPr>
          <w:color w:val="2F5496" w:themeColor="accent1" w:themeShade="BF"/>
          <w:lang w:val="pt-PT"/>
        </w:rPr>
        <w:t xml:space="preserve">, como o texto em </w:t>
      </w:r>
      <w:r>
        <w:rPr>
          <w:i/>
          <w:color w:val="2F5496" w:themeColor="accent1" w:themeShade="BF"/>
          <w:lang w:val="pt-PT"/>
        </w:rPr>
        <w:t>itálico azul</w:t>
      </w:r>
      <w:r>
        <w:rPr>
          <w:color w:val="2F5496" w:themeColor="accent1" w:themeShade="BF"/>
          <w:lang w:val="pt-PT"/>
        </w:rPr>
        <w:t xml:space="preserve"> após a conclusão.</w:t>
      </w:r>
    </w:p>
    <w:p w14:paraId="2C03058B" w14:textId="77777777" w:rsidR="00C0096B" w:rsidRDefault="00AC7A60">
      <w:pPr>
        <w:rPr>
          <w:color w:val="2F5496" w:themeColor="accent1" w:themeShade="BF"/>
          <w:lang w:val="pt-PT"/>
        </w:rPr>
      </w:pPr>
      <w:r>
        <w:rPr>
          <w:color w:val="2F5496" w:themeColor="accent1" w:themeShade="BF"/>
          <w:lang w:val="pt-PT"/>
        </w:rPr>
        <w:t xml:space="preserve">O objetivo deste modelo é estruturar a sua Agenda de Transição para Energia Limpa e destina-se a ser adaptado para se ajustar às necessidades específicas da sua ilha. As ilhas são encorajadas a desenvolver a sua própria identidade visual e podem escolher formas alternativas de cumprir a sua Agenda de Transição - tais como uma página web interativa, um cartaz, etc. - desde que os requisitos mínimos listados abaixo sejam cumpridos.  </w:t>
      </w:r>
    </w:p>
    <w:p w14:paraId="0AF87FCA" w14:textId="77777777" w:rsidR="00C0096B" w:rsidRDefault="00AC7A60">
      <w:pPr>
        <w:rPr>
          <w:color w:val="2F5496" w:themeColor="accent1" w:themeShade="BF"/>
          <w:lang w:val="pt-PT"/>
        </w:rPr>
      </w:pPr>
      <w:r>
        <w:rPr>
          <w:color w:val="2F5496" w:themeColor="accent1" w:themeShade="BF"/>
          <w:lang w:val="pt-PT"/>
        </w:rPr>
        <w:t xml:space="preserve">Uma Agenda de Transição para Energia Limpa precisa respeitar os seguintes </w:t>
      </w:r>
      <w:r>
        <w:rPr>
          <w:b/>
          <w:color w:val="2F5496" w:themeColor="accent1" w:themeShade="BF"/>
          <w:lang w:val="pt-PT"/>
        </w:rPr>
        <w:t>requisitos de conteúdo</w:t>
      </w:r>
      <w:r>
        <w:rPr>
          <w:color w:val="2F5496" w:themeColor="accent1" w:themeShade="BF"/>
          <w:lang w:val="pt-PT"/>
        </w:rPr>
        <w:t>:</w:t>
      </w:r>
    </w:p>
    <w:p w14:paraId="7A4B1723" w14:textId="77777777" w:rsidR="00C0096B" w:rsidRDefault="00AC7A6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Consiste em pelo menos duas partes: uma parte que descreve a situação atual da ilha e uma segunda parte que descreva o futuro descarbonizado previsto para a ilha.</w:t>
      </w:r>
    </w:p>
    <w:p w14:paraId="2DC380BE" w14:textId="77777777" w:rsidR="00C0096B" w:rsidRDefault="00AC7A6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A Parte I inclui, pelo menos:</w:t>
      </w:r>
    </w:p>
    <w:p w14:paraId="402EC992" w14:textId="77777777" w:rsidR="00C0096B" w:rsidRDefault="00AC7A60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Uma descrição geral da geografia, economia e população da ilha,</w:t>
      </w:r>
    </w:p>
    <w:p w14:paraId="5DF7C9FE" w14:textId="77777777" w:rsidR="00C0096B" w:rsidRDefault="00AC7A60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Uma descrição do sistema energético atual,</w:t>
      </w:r>
    </w:p>
    <w:p w14:paraId="060CFAF4" w14:textId="77777777" w:rsidR="00C0096B" w:rsidRDefault="00AC7A60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Um mapeamento das partes interessadas relevantes da ilha,</w:t>
      </w:r>
    </w:p>
    <w:p w14:paraId="3B0428C6" w14:textId="77777777" w:rsidR="00C0096B" w:rsidRDefault="00AC7A60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Uma análise da política e da regulamentação que acompanhe a agenda/plano.</w:t>
      </w:r>
    </w:p>
    <w:p w14:paraId="299D0E5F" w14:textId="77777777" w:rsidR="00C0096B" w:rsidRDefault="00AC7A6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A Parte II inclui, pelo menos:</w:t>
      </w:r>
    </w:p>
    <w:p w14:paraId="093D0F35" w14:textId="77777777" w:rsidR="00C0096B" w:rsidRDefault="00AC7A60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Uma declaração de visão que contempla toda a ilha,</w:t>
      </w:r>
    </w:p>
    <w:p w14:paraId="067D1CAE" w14:textId="77777777" w:rsidR="00C0096B" w:rsidRDefault="00AC7A60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Uma descrição da gestão do processo de transição,</w:t>
      </w:r>
    </w:p>
    <w:p w14:paraId="08C1EA13" w14:textId="77777777" w:rsidR="00C0096B" w:rsidRDefault="00AC7A60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 xml:space="preserve">A identificação e descrição das principais trajetórias do processo de transição. </w:t>
      </w:r>
    </w:p>
    <w:p w14:paraId="123D8A7C" w14:textId="77777777" w:rsidR="00C0096B" w:rsidRDefault="00AC7A60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>Uma estratégia de monitorização do progresso.</w:t>
      </w:r>
    </w:p>
    <w:p w14:paraId="5DF677A2" w14:textId="77777777" w:rsidR="00C0096B" w:rsidRDefault="00AC7A60">
      <w:pPr>
        <w:pStyle w:val="ListParagraph"/>
        <w:numPr>
          <w:ilvl w:val="0"/>
          <w:numId w:val="9"/>
        </w:numPr>
        <w:spacing w:after="0" w:line="240" w:lineRule="auto"/>
        <w:jc w:val="left"/>
        <w:rPr>
          <w:rFonts w:eastAsia="Times New Roman"/>
          <w:color w:val="2F5496" w:themeColor="accent1" w:themeShade="BF"/>
          <w:lang w:val="pt-PT"/>
        </w:rPr>
      </w:pPr>
      <w:r>
        <w:rPr>
          <w:rFonts w:eastAsia="Times New Roman"/>
          <w:color w:val="2F5496" w:themeColor="accent1" w:themeShade="BF"/>
          <w:lang w:val="pt-PT"/>
        </w:rPr>
        <w:t xml:space="preserve">A Agenda de Transição para Energia Limpa contém o logotipo da </w:t>
      </w:r>
      <w:r>
        <w:rPr>
          <w:rFonts w:eastAsia="Times New Roman"/>
          <w:i/>
          <w:color w:val="2F5496" w:themeColor="accent1" w:themeShade="BF"/>
          <w:lang w:val="pt-PT"/>
        </w:rPr>
        <w:t>Clean Energy for EU Islands</w:t>
      </w:r>
      <w:r>
        <w:rPr>
          <w:rFonts w:eastAsia="Times New Roman"/>
          <w:color w:val="2F5496" w:themeColor="accent1" w:themeShade="BF"/>
          <w:lang w:val="pt-PT"/>
        </w:rPr>
        <w:t xml:space="preserve"> e menciona a </w:t>
      </w:r>
      <w:r>
        <w:rPr>
          <w:rFonts w:eastAsia="Times New Roman"/>
          <w:i/>
          <w:color w:val="2F5496" w:themeColor="accent1" w:themeShade="BF"/>
          <w:lang w:val="pt-PT"/>
        </w:rPr>
        <w:t>Clean Energy for EU Islands Initiative</w:t>
      </w:r>
      <w:r>
        <w:rPr>
          <w:rFonts w:eastAsia="Times New Roman"/>
          <w:color w:val="2F5496" w:themeColor="accent1" w:themeShade="BF"/>
          <w:lang w:val="pt-PT"/>
        </w:rPr>
        <w:t>.</w:t>
      </w:r>
    </w:p>
    <w:p w14:paraId="535871B8" w14:textId="77777777" w:rsidR="00C0096B" w:rsidRDefault="00C0096B">
      <w:pPr>
        <w:rPr>
          <w:b/>
          <w:sz w:val="22"/>
          <w:u w:val="single"/>
          <w:lang w:val="pt-PT"/>
        </w:rPr>
      </w:pPr>
    </w:p>
    <w:p w14:paraId="030F80F4" w14:textId="77777777" w:rsidR="00C0096B" w:rsidRDefault="00AC7A60">
      <w:pPr>
        <w:rPr>
          <w:color w:val="2F5496" w:themeColor="accent1" w:themeShade="BF"/>
          <w:lang w:val="pt-PT"/>
        </w:rPr>
      </w:pPr>
      <w:r>
        <w:rPr>
          <w:color w:val="2F5496" w:themeColor="accent1" w:themeShade="BF"/>
          <w:lang w:val="pt-PT"/>
        </w:rPr>
        <w:t xml:space="preserve">Note que uma Agenda de Transição é um 'documento vivo'; assim, o seu conteúdo pode evoluir ao longo do tempo. Através do seu processo de transição, as ilhas podem ter diferentes versões da sua Agenda de Transição (uma no início, e várias à medida que a transição se desenvolve). Para evitar mal-entendidos, por favor clarifique a versão </w:t>
      </w:r>
      <w:r>
        <w:rPr>
          <w:b/>
          <w:color w:val="2F5496" w:themeColor="accent1" w:themeShade="BF"/>
          <w:lang w:val="pt-PT"/>
        </w:rPr>
        <w:t>mês</w:t>
      </w:r>
      <w:r>
        <w:rPr>
          <w:color w:val="2F5496" w:themeColor="accent1" w:themeShade="BF"/>
          <w:lang w:val="pt-PT"/>
        </w:rPr>
        <w:t xml:space="preserve"> e </w:t>
      </w:r>
      <w:r>
        <w:rPr>
          <w:b/>
          <w:color w:val="2F5496" w:themeColor="accent1" w:themeShade="BF"/>
          <w:lang w:val="pt-PT"/>
        </w:rPr>
        <w:t>ano</w:t>
      </w:r>
      <w:r>
        <w:rPr>
          <w:color w:val="2F5496" w:themeColor="accent1" w:themeShade="BF"/>
          <w:lang w:val="pt-PT"/>
        </w:rPr>
        <w:t xml:space="preserve"> na página de rosto da Agenda de Transição.</w:t>
      </w:r>
    </w:p>
    <w:p w14:paraId="04D2D3B5" w14:textId="77777777" w:rsidR="00C0096B" w:rsidRDefault="00AC7A60">
      <w:pPr>
        <w:spacing w:line="240" w:lineRule="auto"/>
        <w:rPr>
          <w:color w:val="2F5496" w:themeColor="accent1" w:themeShade="BF"/>
          <w:lang w:val="pt-PT"/>
        </w:rPr>
      </w:pPr>
      <w:r>
        <w:rPr>
          <w:color w:val="2F5496" w:themeColor="accent1" w:themeShade="BF"/>
          <w:lang w:val="pt-PT"/>
        </w:rPr>
        <w:lastRenderedPageBreak/>
        <w:t xml:space="preserve">Para quaisquer questões, não hesite em contactar o Secretariado da </w:t>
      </w:r>
      <w:r>
        <w:rPr>
          <w:i/>
          <w:color w:val="2F5496" w:themeColor="accent1" w:themeShade="BF"/>
          <w:lang w:val="pt-PT"/>
        </w:rPr>
        <w:t>Clean Energy for EU Islands</w:t>
      </w:r>
      <w:r>
        <w:rPr>
          <w:color w:val="2F5496" w:themeColor="accent1" w:themeShade="BF"/>
          <w:lang w:val="pt-PT"/>
        </w:rPr>
        <w:t xml:space="preserve"> através de </w:t>
      </w:r>
      <w:r w:rsidR="001D226C">
        <w:fldChar w:fldCharType="begin"/>
      </w:r>
      <w:r w:rsidR="001D226C" w:rsidRPr="00E87DCB">
        <w:rPr>
          <w:lang w:val="pt-PT"/>
        </w:rPr>
        <w:instrText xml:space="preserve"> HYPERLINK "mailto:info@euislands.eu" </w:instrText>
      </w:r>
      <w:r w:rsidR="001D226C">
        <w:fldChar w:fldCharType="separate"/>
      </w:r>
      <w:r>
        <w:rPr>
          <w:rStyle w:val="Hyperlink"/>
          <w:color w:val="2F5496" w:themeColor="accent1" w:themeShade="BF"/>
          <w:lang w:val="pt-PT"/>
        </w:rPr>
        <w:t>info@euislands.eu</w:t>
      </w:r>
      <w:r w:rsidR="001D226C">
        <w:rPr>
          <w:rStyle w:val="Hyperlink"/>
          <w:color w:val="2F5496" w:themeColor="accent1" w:themeShade="BF"/>
          <w:lang w:val="pt-PT"/>
        </w:rPr>
        <w:fldChar w:fldCharType="end"/>
      </w:r>
      <w:r>
        <w:rPr>
          <w:color w:val="2F5496" w:themeColor="accent1" w:themeShade="BF"/>
          <w:lang w:val="pt-PT"/>
        </w:rPr>
        <w:t xml:space="preserve">. </w:t>
      </w:r>
    </w:p>
    <w:p w14:paraId="271069AD" w14:textId="77777777" w:rsidR="00C0096B" w:rsidRDefault="00AC7A60">
      <w:pPr>
        <w:spacing w:line="240" w:lineRule="auto"/>
        <w:rPr>
          <w:b/>
          <w:color w:val="2F5496" w:themeColor="accent1" w:themeShade="BF"/>
          <w:lang w:val="pt-PT"/>
        </w:rPr>
      </w:pPr>
      <w:r>
        <w:rPr>
          <w:color w:val="2F5496" w:themeColor="accent1" w:themeShade="BF"/>
          <w:lang w:val="pt-PT"/>
        </w:rPr>
        <w:t xml:space="preserve">Para mais informações sobre as atividades do Secretariado consulte </w:t>
      </w:r>
      <w:r w:rsidR="001D226C">
        <w:fldChar w:fldCharType="begin"/>
      </w:r>
      <w:r w:rsidR="001D226C" w:rsidRPr="00E87DCB">
        <w:rPr>
          <w:lang w:val="fr-FR"/>
        </w:rPr>
        <w:instrText xml:space="preserve"> HYPERLINK "http://www.euislands.eu" </w:instrText>
      </w:r>
      <w:r w:rsidR="001D226C">
        <w:fldChar w:fldCharType="separate"/>
      </w:r>
      <w:r>
        <w:rPr>
          <w:rStyle w:val="Hyperlink"/>
          <w:color w:val="2F5496" w:themeColor="accent1" w:themeShade="BF"/>
          <w:lang w:val="pt-PT"/>
        </w:rPr>
        <w:t>www.euislands.eu</w:t>
      </w:r>
      <w:r w:rsidR="001D226C">
        <w:rPr>
          <w:rStyle w:val="Hyperlink"/>
          <w:color w:val="2F5496" w:themeColor="accent1" w:themeShade="BF"/>
          <w:lang w:val="pt-PT"/>
        </w:rPr>
        <w:fldChar w:fldCharType="end"/>
      </w:r>
      <w:r>
        <w:rPr>
          <w:color w:val="2F5496" w:themeColor="accent1" w:themeShade="BF"/>
          <w:lang w:val="pt-PT"/>
        </w:rPr>
        <w:t xml:space="preserve">. </w:t>
      </w:r>
    </w:p>
    <w:p w14:paraId="3BB2CEAE" w14:textId="77777777" w:rsidR="00C0096B" w:rsidRDefault="00AC7A60">
      <w:pPr>
        <w:spacing w:line="259" w:lineRule="auto"/>
        <w:jc w:val="left"/>
        <w:rPr>
          <w:b/>
          <w:lang w:val="pt-PT"/>
        </w:rPr>
      </w:pPr>
      <w:r>
        <w:rPr>
          <w:b/>
          <w:lang w:val="pt-PT"/>
        </w:rPr>
        <w:br w:type="page"/>
      </w:r>
    </w:p>
    <w:p w14:paraId="55AFC6AF" w14:textId="77777777" w:rsidR="00C0096B" w:rsidRDefault="00AC7A60">
      <w:pPr>
        <w:pStyle w:val="Heading2"/>
        <w:numPr>
          <w:ilvl w:val="0"/>
          <w:numId w:val="0"/>
        </w:numPr>
        <w:rPr>
          <w:lang w:val="pt-PT"/>
        </w:rPr>
      </w:pPr>
      <w:bookmarkStart w:id="7" w:name="_Toc30430902"/>
      <w:r>
        <w:rPr>
          <w:lang w:val="pt-PT"/>
        </w:rPr>
        <w:lastRenderedPageBreak/>
        <w:t>Prefácio</w:t>
      </w:r>
      <w:bookmarkEnd w:id="5"/>
      <w:bookmarkEnd w:id="6"/>
      <w:bookmarkEnd w:id="7"/>
    </w:p>
    <w:p w14:paraId="53660515" w14:textId="77777777" w:rsidR="00C0096B" w:rsidRDefault="00AC7A60">
      <w:pPr>
        <w:rPr>
          <w:lang w:val="pt-PT"/>
        </w:rPr>
      </w:pPr>
      <w:r>
        <w:rPr>
          <w:lang w:val="pt-PT"/>
        </w:rPr>
        <w:t xml:space="preserve">Esta Agenda de Transição para Energia Limpa da </w:t>
      </w:r>
      <w:r>
        <w:rPr>
          <w:highlight w:val="green"/>
          <w:lang w:val="pt-PT"/>
        </w:rPr>
        <w:t>[Ilha]</w:t>
      </w:r>
      <w:r>
        <w:rPr>
          <w:lang w:val="pt-PT"/>
        </w:rPr>
        <w:t xml:space="preserve"> é o plano estratégico e tático para o processo de transição para energia limpa, conforme desejado pelas partes interessadas na ilha.</w:t>
      </w:r>
    </w:p>
    <w:p w14:paraId="0BDDEAD9" w14:textId="77777777" w:rsidR="00C0096B" w:rsidRDefault="00AC7A60">
      <w:pPr>
        <w:rPr>
          <w:lang w:val="pt-PT"/>
        </w:rPr>
      </w:pPr>
      <w:r>
        <w:rPr>
          <w:lang w:val="pt-PT"/>
        </w:rPr>
        <w:t xml:space="preserve">Esta Agenda de Transição para Energia Limpa foi desenvolvida conjuntamente por </w:t>
      </w:r>
      <w:r>
        <w:rPr>
          <w:highlight w:val="green"/>
          <w:lang w:val="pt-PT"/>
        </w:rPr>
        <w:t>[Stakeholder 1], [Stakeholder 2], etc.,</w:t>
      </w:r>
      <w:r>
        <w:rPr>
          <w:lang w:val="pt-PT"/>
        </w:rPr>
        <w:t xml:space="preserve"> com o apoio de </w:t>
      </w:r>
      <w:r>
        <w:rPr>
          <w:highlight w:val="green"/>
          <w:lang w:val="pt-PT"/>
        </w:rPr>
        <w:t>[Stakeholder 3], [Stakeholder 4], etc.</w:t>
      </w:r>
    </w:p>
    <w:p w14:paraId="5B872FBE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b/>
          <w:i/>
          <w:color w:val="2F5496" w:themeColor="accent1" w:themeShade="BF"/>
          <w:lang w:val="pt-PT"/>
        </w:rPr>
        <w:t>A Agenda de Transição deve ser aprovada por toda a Equipa de Transição antes de ser oficialmente publicada</w:t>
      </w:r>
      <w:r>
        <w:rPr>
          <w:i/>
          <w:color w:val="2F5496" w:themeColor="accent1" w:themeShade="BF"/>
          <w:lang w:val="pt-PT"/>
        </w:rPr>
        <w:t xml:space="preserve">. A Equipa de Transição é, todavia, encorajada a partilhar a Agenda da Transição e receber feedback de toda a Comunidade de Transição.  </w:t>
      </w:r>
    </w:p>
    <w:p w14:paraId="6C3F6C9B" w14:textId="77777777" w:rsidR="00C0096B" w:rsidRDefault="00C0096B">
      <w:pPr>
        <w:rPr>
          <w:lang w:val="pt-PT"/>
        </w:rPr>
      </w:pPr>
    </w:p>
    <w:p w14:paraId="58365551" w14:textId="77777777" w:rsidR="00C0096B" w:rsidRDefault="00AC7A6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3773EA8E" w14:textId="77777777" w:rsidR="00C0096B" w:rsidRDefault="00AC7A60">
      <w:pPr>
        <w:pStyle w:val="Heading2"/>
        <w:numPr>
          <w:ilvl w:val="0"/>
          <w:numId w:val="0"/>
        </w:numPr>
        <w:ind w:left="714" w:hanging="357"/>
        <w:rPr>
          <w:lang w:val="pt-PT"/>
        </w:rPr>
      </w:pPr>
      <w:bookmarkStart w:id="8" w:name="_Toc2694288"/>
      <w:bookmarkStart w:id="9" w:name="_Toc30430903"/>
      <w:bookmarkStart w:id="10" w:name="_Toc2694394"/>
      <w:r>
        <w:rPr>
          <w:lang w:val="pt-PT"/>
        </w:rPr>
        <w:lastRenderedPageBreak/>
        <w:t>Índice</w:t>
      </w:r>
      <w:bookmarkEnd w:id="8"/>
      <w:bookmarkEnd w:id="9"/>
      <w:bookmarkEnd w:id="10"/>
    </w:p>
    <w:p w14:paraId="74FA132A" w14:textId="77777777" w:rsidR="00C0096B" w:rsidRDefault="00AC7A6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r>
        <w:rPr>
          <w:lang w:val="pt-PT"/>
        </w:rPr>
        <w:fldChar w:fldCharType="begin"/>
      </w:r>
      <w:r>
        <w:rPr>
          <w:lang w:val="pt-PT"/>
        </w:rPr>
        <w:instrText xml:space="preserve"> TOC \o "1-3" \h \z \u </w:instrText>
      </w:r>
      <w:r>
        <w:rPr>
          <w:lang w:val="pt-PT"/>
        </w:rPr>
        <w:fldChar w:fldCharType="separate"/>
      </w:r>
      <w:hyperlink w:anchor="_Toc30430901" w:history="1">
        <w:r>
          <w:rPr>
            <w:rStyle w:val="Hyperlink"/>
            <w:lang w:val="pt-PT"/>
          </w:rPr>
          <w:t>Introdução para escritores da Agenda de Transição para Energia Limpa</w:t>
        </w:r>
        <w:r>
          <w:rPr>
            <w:lang w:val="pt-PT"/>
          </w:rPr>
          <w:tab/>
        </w:r>
        <w:r>
          <w:rPr>
            <w:lang w:val="pt-PT"/>
          </w:rPr>
          <w:fldChar w:fldCharType="begin"/>
        </w:r>
        <w:r>
          <w:rPr>
            <w:lang w:val="pt-PT"/>
          </w:rPr>
          <w:instrText xml:space="preserve"> PAGEREF _Toc30430901 \h </w:instrText>
        </w:r>
        <w:r>
          <w:rPr>
            <w:lang w:val="pt-PT"/>
          </w:rPr>
        </w:r>
        <w:r>
          <w:rPr>
            <w:lang w:val="pt-PT"/>
          </w:rPr>
          <w:fldChar w:fldCharType="separate"/>
        </w:r>
        <w:r>
          <w:rPr>
            <w:lang w:val="pt-PT"/>
          </w:rPr>
          <w:t>2</w:t>
        </w:r>
        <w:r>
          <w:rPr>
            <w:lang w:val="pt-PT"/>
          </w:rPr>
          <w:fldChar w:fldCharType="end"/>
        </w:r>
      </w:hyperlink>
    </w:p>
    <w:p w14:paraId="38BE1A56" w14:textId="77777777" w:rsidR="00C0096B" w:rsidRDefault="001D226C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02" w:history="1">
        <w:r w:rsidR="00AC7A60">
          <w:rPr>
            <w:rStyle w:val="Hyperlink"/>
            <w:lang w:val="pt-PT"/>
          </w:rPr>
          <w:t>Prefácio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_Toc30430902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4</w:t>
        </w:r>
        <w:r w:rsidR="00AC7A60">
          <w:rPr>
            <w:lang w:val="pt-PT"/>
          </w:rPr>
          <w:fldChar w:fldCharType="end"/>
        </w:r>
      </w:hyperlink>
    </w:p>
    <w:p w14:paraId="70051441" w14:textId="77777777" w:rsidR="00C0096B" w:rsidRDefault="001D226C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03" w:history="1">
        <w:r w:rsidR="00AC7A60">
          <w:rPr>
            <w:rStyle w:val="Hyperlink"/>
            <w:lang w:val="pt-PT"/>
          </w:rPr>
          <w:t>Índice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_Toc30430903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5</w:t>
        </w:r>
        <w:r w:rsidR="00AC7A60">
          <w:rPr>
            <w:lang w:val="pt-PT"/>
          </w:rPr>
          <w:fldChar w:fldCharType="end"/>
        </w:r>
      </w:hyperlink>
    </w:p>
    <w:p w14:paraId="0DE6F89A" w14:textId="77777777" w:rsidR="00C0096B" w:rsidRDefault="001D226C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04" w:history="1">
        <w:r w:rsidR="00AC7A60">
          <w:rPr>
            <w:rStyle w:val="Hyperlink"/>
            <w:lang w:val="pt-PT"/>
          </w:rPr>
          <w:t>Parte I: Dinâmica das Ilhas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_Toc30430904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6</w:t>
        </w:r>
        <w:r w:rsidR="00AC7A60">
          <w:rPr>
            <w:lang w:val="pt-PT"/>
          </w:rPr>
          <w:fldChar w:fldCharType="end"/>
        </w:r>
      </w:hyperlink>
    </w:p>
    <w:p w14:paraId="70DBF081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05" w:history="1">
        <w:r w:rsidR="00AC7A60">
          <w:rPr>
            <w:rStyle w:val="Hyperlink"/>
            <w:lang w:val="pt-PT"/>
          </w:rPr>
          <w:t>1.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</w:r>
        <w:r w:rsidR="00AC7A60">
          <w:rPr>
            <w:rStyle w:val="Hyperlink"/>
            <w:lang w:val="pt-PT"/>
          </w:rPr>
          <w:t>Geografia, Economia e População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_Toc30430905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6</w:t>
        </w:r>
        <w:r w:rsidR="00AC7A60">
          <w:rPr>
            <w:lang w:val="pt-PT"/>
          </w:rPr>
          <w:fldChar w:fldCharType="end"/>
        </w:r>
      </w:hyperlink>
    </w:p>
    <w:p w14:paraId="40A6666C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06" w:history="1">
        <w:r w:rsidR="00AC7A60">
          <w:rPr>
            <w:rStyle w:val="Hyperlink"/>
            <w:lang w:val="pt-PT"/>
          </w:rPr>
          <w:t>Situação Demográfica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_Toc30430906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6</w:t>
        </w:r>
        <w:r w:rsidR="00AC7A60">
          <w:rPr>
            <w:lang w:val="pt-PT"/>
          </w:rPr>
          <w:fldChar w:fldCharType="end"/>
        </w:r>
      </w:hyperlink>
    </w:p>
    <w:p w14:paraId="4AB403E4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07" w:history="1">
        <w:r w:rsidR="00AC7A60">
          <w:rPr>
            <w:rStyle w:val="Hyperlink"/>
            <w:lang w:val="pt-PT"/>
          </w:rPr>
          <w:t>Conexão com o continente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_Toc30430907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6</w:t>
        </w:r>
        <w:r w:rsidR="00AC7A60">
          <w:rPr>
            <w:lang w:val="pt-PT"/>
          </w:rPr>
          <w:fldChar w:fldCharType="end"/>
        </w:r>
      </w:hyperlink>
    </w:p>
    <w:p w14:paraId="770626AE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08" w:history="1">
        <w:r w:rsidR="00AC7A60">
          <w:rPr>
            <w:rStyle w:val="Hyperlink"/>
            <w:lang w:val="pt-PT"/>
          </w:rPr>
          <w:t>2.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</w:r>
        <w:r w:rsidR="00AC7A60">
          <w:rPr>
            <w:rStyle w:val="Hyperlink"/>
            <w:lang w:val="pt-PT"/>
          </w:rPr>
          <w:t>Descrição do Sistema Energético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_Toc30430908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7</w:t>
        </w:r>
        <w:r w:rsidR="00AC7A60">
          <w:rPr>
            <w:lang w:val="pt-PT"/>
          </w:rPr>
          <w:fldChar w:fldCharType="end"/>
        </w:r>
      </w:hyperlink>
    </w:p>
    <w:p w14:paraId="4206CDC8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09" w:history="1">
        <w:r w:rsidR="00AC7A60">
          <w:rPr>
            <w:rStyle w:val="Hyperlink"/>
            <w:lang w:val="pt-PT"/>
          </w:rPr>
          <w:t>3.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</w:r>
        <w:r w:rsidR="00AC7A60">
          <w:rPr>
            <w:rStyle w:val="Hyperlink"/>
            <w:lang w:val="pt-PT"/>
          </w:rPr>
          <w:t>Mapeamento das partes interessadas (stakeholders)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_Toc30430909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9</w:t>
        </w:r>
        <w:r w:rsidR="00AC7A60">
          <w:rPr>
            <w:lang w:val="pt-PT"/>
          </w:rPr>
          <w:fldChar w:fldCharType="end"/>
        </w:r>
      </w:hyperlink>
    </w:p>
    <w:p w14:paraId="1A115324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10" w:history="1">
        <w:r w:rsidR="00AC7A60">
          <w:rPr>
            <w:rStyle w:val="Hyperlink"/>
            <w:lang w:val="pt-PT"/>
          </w:rPr>
          <w:t>Organizações da sociedade civil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_Toc30430910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9</w:t>
        </w:r>
        <w:r w:rsidR="00AC7A60">
          <w:rPr>
            <w:lang w:val="pt-PT"/>
          </w:rPr>
          <w:fldChar w:fldCharType="end"/>
        </w:r>
      </w:hyperlink>
    </w:p>
    <w:p w14:paraId="25AF4B9F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11" w:history="1">
        <w:r w:rsidR="00AC7A60">
          <w:rPr>
            <w:lang w:val="pt-PT"/>
          </w:rPr>
          <w:t>Empresas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_Toc30430911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9</w:t>
        </w:r>
        <w:r w:rsidR="00AC7A60">
          <w:rPr>
            <w:lang w:val="pt-PT"/>
          </w:rPr>
          <w:fldChar w:fldCharType="end"/>
        </w:r>
      </w:hyperlink>
    </w:p>
    <w:p w14:paraId="50F4C770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12" w:history="1">
        <w:r w:rsidR="00AC7A60">
          <w:rPr>
            <w:rStyle w:val="Hyperlink"/>
            <w:lang w:val="pt-PT"/>
          </w:rPr>
          <w:t>Setor Público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_Toc30430912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9</w:t>
        </w:r>
        <w:r w:rsidR="00AC7A60">
          <w:rPr>
            <w:lang w:val="pt-PT"/>
          </w:rPr>
          <w:fldChar w:fldCharType="end"/>
        </w:r>
      </w:hyperlink>
    </w:p>
    <w:p w14:paraId="5993E1C3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13" w:history="1">
        <w:r w:rsidR="00AC7A60">
          <w:rPr>
            <w:rStyle w:val="Hyperlink"/>
            <w:lang w:val="pt-PT"/>
          </w:rPr>
          <w:t>Escolas e Academia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_Toc30430913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10</w:t>
        </w:r>
        <w:r w:rsidR="00AC7A60">
          <w:rPr>
            <w:lang w:val="pt-PT"/>
          </w:rPr>
          <w:fldChar w:fldCharType="end"/>
        </w:r>
      </w:hyperlink>
    </w:p>
    <w:p w14:paraId="1948DA06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14" w:history="1">
        <w:r w:rsidR="00AC7A60">
          <w:rPr>
            <w:rStyle w:val="Hyperlink"/>
            <w:lang w:val="pt-PT"/>
          </w:rPr>
          <w:t>4.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</w:r>
        <w:r w:rsidR="00AC7A60">
          <w:rPr>
            <w:rStyle w:val="Hyperlink"/>
            <w:lang w:val="pt-PT"/>
          </w:rPr>
          <w:t>Política e Regulamentação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_Toc30430914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11</w:t>
        </w:r>
        <w:r w:rsidR="00AC7A60">
          <w:rPr>
            <w:lang w:val="pt-PT"/>
          </w:rPr>
          <w:fldChar w:fldCharType="end"/>
        </w:r>
      </w:hyperlink>
    </w:p>
    <w:p w14:paraId="1AE0C60A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15" w:history="1">
        <w:r w:rsidR="00AC7A60">
          <w:rPr>
            <w:rStyle w:val="Hyperlink"/>
            <w:lang w:val="pt-PT"/>
          </w:rPr>
          <w:t>Política e regulamentação locais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_Toc30430915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11</w:t>
        </w:r>
        <w:r w:rsidR="00AC7A60">
          <w:rPr>
            <w:lang w:val="pt-PT"/>
          </w:rPr>
          <w:fldChar w:fldCharType="end"/>
        </w:r>
      </w:hyperlink>
    </w:p>
    <w:p w14:paraId="3C1A2767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16" w:history="1">
        <w:r w:rsidR="00AC7A60">
          <w:rPr>
            <w:rStyle w:val="Hyperlink"/>
            <w:lang w:val="pt-PT"/>
          </w:rPr>
          <w:t>Política e regulamentação regional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_Toc30430916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11</w:t>
        </w:r>
        <w:r w:rsidR="00AC7A60">
          <w:rPr>
            <w:lang w:val="pt-PT"/>
          </w:rPr>
          <w:fldChar w:fldCharType="end"/>
        </w:r>
      </w:hyperlink>
    </w:p>
    <w:p w14:paraId="526675FB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17" w:history="1">
        <w:r w:rsidR="00AC7A60">
          <w:rPr>
            <w:rStyle w:val="Hyperlink"/>
            <w:lang w:val="pt-PT"/>
          </w:rPr>
          <w:t>Política e regulamentação nacionais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_Toc30430917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11</w:t>
        </w:r>
        <w:r w:rsidR="00AC7A60">
          <w:rPr>
            <w:lang w:val="pt-PT"/>
          </w:rPr>
          <w:fldChar w:fldCharType="end"/>
        </w:r>
      </w:hyperlink>
    </w:p>
    <w:p w14:paraId="3FC8F6AD" w14:textId="77777777" w:rsidR="00C0096B" w:rsidRDefault="001D226C">
      <w:pPr>
        <w:pStyle w:val="TOC3"/>
        <w:rPr>
          <w:rFonts w:asciiTheme="minorHAnsi" w:eastAsiaTheme="minorEastAsia" w:hAnsiTheme="minorHAnsi"/>
          <w:color w:val="auto"/>
          <w:sz w:val="22"/>
          <w:lang w:val="pt-PT" w:eastAsia="en-GB"/>
        </w:rPr>
      </w:pPr>
      <w:hyperlink w:anchor="_Toc30430918" w:history="1">
        <w:r w:rsidR="00AC7A60">
          <w:rPr>
            <w:rStyle w:val="Hyperlink"/>
            <w:lang w:val="pt-PT"/>
          </w:rPr>
          <w:t>Política e regulamentação europeias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_Toc30430918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11</w:t>
        </w:r>
        <w:r w:rsidR="00AC7A60">
          <w:rPr>
            <w:lang w:val="pt-PT"/>
          </w:rPr>
          <w:fldChar w:fldCharType="end"/>
        </w:r>
      </w:hyperlink>
    </w:p>
    <w:p w14:paraId="1BAC122F" w14:textId="77777777" w:rsidR="00C0096B" w:rsidRDefault="001D226C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19" w:history="1">
        <w:r w:rsidR="00AC7A60">
          <w:rPr>
            <w:rStyle w:val="Hyperlink"/>
            <w:lang w:val="pt-PT"/>
          </w:rPr>
          <w:t>Parte II: Caminho de Transição da Ilha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_Toc30430919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12</w:t>
        </w:r>
        <w:r w:rsidR="00AC7A60">
          <w:rPr>
            <w:lang w:val="pt-PT"/>
          </w:rPr>
          <w:fldChar w:fldCharType="end"/>
        </w:r>
      </w:hyperlink>
    </w:p>
    <w:p w14:paraId="3342458E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20" w:history="1">
        <w:r w:rsidR="00AC7A60">
          <w:rPr>
            <w:rStyle w:val="Hyperlink"/>
            <w:lang w:val="pt-PT"/>
          </w:rPr>
          <w:t>1.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</w:r>
        <w:r w:rsidR="00AC7A60">
          <w:rPr>
            <w:rStyle w:val="Hyperlink"/>
            <w:lang w:val="pt-PT"/>
          </w:rPr>
          <w:t>Visão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_Toc30430920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13</w:t>
        </w:r>
        <w:r w:rsidR="00AC7A60">
          <w:rPr>
            <w:lang w:val="pt-PT"/>
          </w:rPr>
          <w:fldChar w:fldCharType="end"/>
        </w:r>
      </w:hyperlink>
    </w:p>
    <w:p w14:paraId="10732012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21" w:history="1">
        <w:r w:rsidR="00AC7A60">
          <w:rPr>
            <w:rStyle w:val="Hyperlink"/>
            <w:lang w:val="pt-PT"/>
          </w:rPr>
          <w:t>2.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  <w:t>Gestão da Transição Energética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_Toc30430921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14</w:t>
        </w:r>
        <w:r w:rsidR="00AC7A60">
          <w:rPr>
            <w:lang w:val="pt-PT"/>
          </w:rPr>
          <w:fldChar w:fldCharType="end"/>
        </w:r>
      </w:hyperlink>
    </w:p>
    <w:p w14:paraId="2BA210F5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22" w:history="1">
        <w:r w:rsidR="00AC7A60">
          <w:rPr>
            <w:rStyle w:val="Hyperlink"/>
            <w:lang w:val="pt-PT"/>
          </w:rPr>
          <w:t>3.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</w:r>
        <w:r w:rsidR="00AC7A60">
          <w:rPr>
            <w:rStyle w:val="Hyperlink"/>
            <w:lang w:val="pt-PT"/>
          </w:rPr>
          <w:t>Pathways (</w:t>
        </w:r>
        <w:r w:rsidR="00AC7A60">
          <w:rPr>
            <w:rStyle w:val="Hyperlink"/>
            <w:i/>
            <w:lang w:val="pt-PT"/>
          </w:rPr>
          <w:t>Caminhos)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_Toc30430922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15</w:t>
        </w:r>
        <w:r w:rsidR="00AC7A60">
          <w:rPr>
            <w:lang w:val="pt-PT"/>
          </w:rPr>
          <w:fldChar w:fldCharType="end"/>
        </w:r>
      </w:hyperlink>
    </w:p>
    <w:p w14:paraId="0371463F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23" w:history="1">
        <w:r w:rsidR="00AC7A60">
          <w:rPr>
            <w:rStyle w:val="Hyperlink"/>
            <w:lang w:val="pt-PT"/>
          </w:rPr>
          <w:t>4.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</w:r>
        <w:r w:rsidR="00AC7A60">
          <w:rPr>
            <w:rStyle w:val="Hyperlink"/>
            <w:lang w:val="pt-PT"/>
          </w:rPr>
          <w:t>Pilares da Transição Energética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_Toc30430923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16</w:t>
        </w:r>
        <w:r w:rsidR="00AC7A60">
          <w:rPr>
            <w:lang w:val="pt-PT"/>
          </w:rPr>
          <w:fldChar w:fldCharType="end"/>
        </w:r>
      </w:hyperlink>
    </w:p>
    <w:p w14:paraId="2BA09E0E" w14:textId="77777777" w:rsidR="00C0096B" w:rsidRDefault="001D226C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24" w:history="1">
        <w:r w:rsidR="00AC7A60">
          <w:rPr>
            <w:rStyle w:val="Hyperlink"/>
            <w:lang w:val="pt-PT"/>
          </w:rPr>
          <w:t>5.</w:t>
        </w:r>
        <w:r w:rsidR="00AC7A60">
          <w:rPr>
            <w:rFonts w:asciiTheme="minorHAnsi" w:eastAsiaTheme="minorEastAsia" w:hAnsiTheme="minorHAnsi"/>
            <w:sz w:val="22"/>
            <w:lang w:val="pt-PT" w:eastAsia="en-GB"/>
          </w:rPr>
          <w:tab/>
        </w:r>
        <w:r w:rsidR="00AC7A60">
          <w:rPr>
            <w:rStyle w:val="Hyperlink"/>
            <w:lang w:val="pt-PT"/>
          </w:rPr>
          <w:t>Monitorização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_Toc30430924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17</w:t>
        </w:r>
        <w:r w:rsidR="00AC7A60">
          <w:rPr>
            <w:lang w:val="pt-PT"/>
          </w:rPr>
          <w:fldChar w:fldCharType="end"/>
        </w:r>
      </w:hyperlink>
    </w:p>
    <w:p w14:paraId="4BDC3748" w14:textId="77777777" w:rsidR="00C0096B" w:rsidRDefault="001D226C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sz w:val="22"/>
          <w:lang w:val="pt-PT" w:eastAsia="en-GB"/>
        </w:rPr>
      </w:pPr>
      <w:hyperlink w:anchor="_Toc30430925" w:history="1">
        <w:r w:rsidR="00AC7A60">
          <w:rPr>
            <w:rStyle w:val="Hyperlink"/>
            <w:lang w:val="pt-PT"/>
          </w:rPr>
          <w:t>Referências</w:t>
        </w:r>
        <w:r w:rsidR="00AC7A60">
          <w:rPr>
            <w:lang w:val="pt-PT"/>
          </w:rPr>
          <w:tab/>
        </w:r>
        <w:r w:rsidR="00AC7A60">
          <w:rPr>
            <w:lang w:val="pt-PT"/>
          </w:rPr>
          <w:fldChar w:fldCharType="begin"/>
        </w:r>
        <w:r w:rsidR="00AC7A60">
          <w:rPr>
            <w:lang w:val="pt-PT"/>
          </w:rPr>
          <w:instrText xml:space="preserve"> PAGEREF _Toc30430925 \h </w:instrText>
        </w:r>
        <w:r w:rsidR="00AC7A60">
          <w:rPr>
            <w:lang w:val="pt-PT"/>
          </w:rPr>
        </w:r>
        <w:r w:rsidR="00AC7A60">
          <w:rPr>
            <w:lang w:val="pt-PT"/>
          </w:rPr>
          <w:fldChar w:fldCharType="separate"/>
        </w:r>
        <w:r w:rsidR="00AC7A60">
          <w:rPr>
            <w:lang w:val="pt-PT"/>
          </w:rPr>
          <w:t>19</w:t>
        </w:r>
        <w:r w:rsidR="00AC7A60">
          <w:rPr>
            <w:lang w:val="pt-PT"/>
          </w:rPr>
          <w:fldChar w:fldCharType="end"/>
        </w:r>
      </w:hyperlink>
    </w:p>
    <w:p w14:paraId="5A41A7D6" w14:textId="77777777" w:rsidR="00C0096B" w:rsidRDefault="00AC7A60">
      <w:pPr>
        <w:rPr>
          <w:lang w:val="pt-PT"/>
        </w:rPr>
      </w:pPr>
      <w:r>
        <w:rPr>
          <w:lang w:val="pt-PT"/>
        </w:rPr>
        <w:fldChar w:fldCharType="end"/>
      </w:r>
    </w:p>
    <w:p w14:paraId="23D09F0D" w14:textId="77777777" w:rsidR="00C0096B" w:rsidRDefault="00AC7A6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15727531" w14:textId="77777777" w:rsidR="00C0096B" w:rsidRDefault="00AC7A60">
      <w:pPr>
        <w:pStyle w:val="Heading1"/>
        <w:rPr>
          <w:lang w:val="pt-PT"/>
        </w:rPr>
      </w:pPr>
      <w:bookmarkStart w:id="11" w:name="_Toc30430904"/>
      <w:r>
        <w:rPr>
          <w:lang w:val="pt-PT"/>
        </w:rPr>
        <w:lastRenderedPageBreak/>
        <w:t>Parte I: Dinâmica das Ilhas</w:t>
      </w:r>
      <w:bookmarkEnd w:id="11"/>
    </w:p>
    <w:p w14:paraId="63068681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A Parte I da Agenda de Transição para Energia Limpa visa fornecer uma imagem da situação atual da ilha. Isto inclui uma descrição da situação geográfica, económica e política da ilha, mas também uma análise do Sistema Energético e das Partes Interessadas, que são importantes para a Transição para Energias Limpas.</w:t>
      </w:r>
    </w:p>
    <w:p w14:paraId="0C62FB6D" w14:textId="77777777" w:rsidR="00C0096B" w:rsidRDefault="00AC7A60">
      <w:pPr>
        <w:pStyle w:val="Heading2"/>
        <w:rPr>
          <w:lang w:val="pt-PT"/>
        </w:rPr>
      </w:pPr>
      <w:bookmarkStart w:id="12" w:name="_Toc30430905"/>
      <w:bookmarkStart w:id="13" w:name="_Hlk7000143"/>
      <w:r>
        <w:rPr>
          <w:lang w:val="pt-PT"/>
        </w:rPr>
        <w:t>Geografia, Economia e População</w:t>
      </w:r>
      <w:bookmarkEnd w:id="12"/>
    </w:p>
    <w:p w14:paraId="4C54420A" w14:textId="77777777" w:rsidR="00C0096B" w:rsidRDefault="00AC7A60">
      <w:pPr>
        <w:rPr>
          <w:rFonts w:eastAsiaTheme="majorEastAsia" w:cstheme="majorBidi"/>
          <w:b/>
          <w:color w:val="222A35" w:themeColor="text2" w:themeShade="80"/>
          <w:sz w:val="22"/>
          <w:szCs w:val="24"/>
          <w:lang w:val="pt-PT"/>
        </w:rPr>
      </w:pPr>
      <w:bookmarkStart w:id="14" w:name="_Toc2349143"/>
      <w:bookmarkEnd w:id="13"/>
      <w:r>
        <w:rPr>
          <w:rFonts w:eastAsiaTheme="majorEastAsia" w:cstheme="majorBidi"/>
          <w:b/>
          <w:color w:val="222A35" w:themeColor="text2" w:themeShade="80"/>
          <w:sz w:val="22"/>
          <w:szCs w:val="24"/>
          <w:lang w:val="pt-PT"/>
        </w:rPr>
        <w:t>Situação Geográfica</w:t>
      </w:r>
    </w:p>
    <w:p w14:paraId="5776515F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Descrever as características geográficas da Ilha que são relevantes para o seu processo de transição energética. </w:t>
      </w:r>
    </w:p>
    <w:p w14:paraId="711C9E3F" w14:textId="77777777" w:rsidR="00C0096B" w:rsidRDefault="00C0096B">
      <w:pPr>
        <w:rPr>
          <w:lang w:val="pt-PT"/>
        </w:rPr>
      </w:pPr>
    </w:p>
    <w:p w14:paraId="71EFD6F0" w14:textId="77777777" w:rsidR="00C0096B" w:rsidRDefault="00AC7A60">
      <w:pPr>
        <w:pStyle w:val="Heading3"/>
        <w:rPr>
          <w:lang w:val="pt-PT"/>
        </w:rPr>
      </w:pPr>
      <w:bookmarkStart w:id="15" w:name="_Toc30430906"/>
      <w:bookmarkStart w:id="16" w:name="_Toc2349144"/>
      <w:bookmarkEnd w:id="14"/>
      <w:r>
        <w:rPr>
          <w:lang w:val="pt-PT"/>
        </w:rPr>
        <w:t>Situação Demográfica</w:t>
      </w:r>
      <w:bookmarkEnd w:id="15"/>
    </w:p>
    <w:p w14:paraId="19159F5D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Descrever as considerações demográficas da Ilha relevantes no contexto do processo de transição energética. </w:t>
      </w:r>
    </w:p>
    <w:p w14:paraId="6D8F7518" w14:textId="77777777" w:rsidR="00C0096B" w:rsidRDefault="00C0096B">
      <w:pPr>
        <w:rPr>
          <w:lang w:val="pt-PT"/>
        </w:rPr>
      </w:pPr>
    </w:p>
    <w:p w14:paraId="338C1068" w14:textId="77777777" w:rsidR="00C0096B" w:rsidRDefault="00AC7A60">
      <w:pPr>
        <w:rPr>
          <w:rFonts w:eastAsiaTheme="majorEastAsia" w:cstheme="majorBidi"/>
          <w:b/>
          <w:color w:val="222A35" w:themeColor="text2" w:themeShade="80"/>
          <w:sz w:val="22"/>
          <w:szCs w:val="24"/>
          <w:lang w:val="pt-PT"/>
        </w:rPr>
      </w:pPr>
      <w:bookmarkStart w:id="17" w:name="_Toc2349145"/>
      <w:bookmarkEnd w:id="16"/>
      <w:r>
        <w:rPr>
          <w:rFonts w:eastAsiaTheme="majorEastAsia" w:cstheme="majorBidi"/>
          <w:b/>
          <w:color w:val="222A35" w:themeColor="text2" w:themeShade="80"/>
          <w:sz w:val="22"/>
          <w:szCs w:val="24"/>
          <w:lang w:val="pt-PT"/>
        </w:rPr>
        <w:t>Governo local</w:t>
      </w:r>
    </w:p>
    <w:p w14:paraId="1F5E34D5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Descrever a função do governo local no processo de transição energética.</w:t>
      </w:r>
    </w:p>
    <w:p w14:paraId="7C1D9B0E" w14:textId="77777777" w:rsidR="00C0096B" w:rsidRDefault="00C0096B">
      <w:pPr>
        <w:rPr>
          <w:lang w:val="pt-PT"/>
        </w:rPr>
      </w:pPr>
    </w:p>
    <w:p w14:paraId="16D25376" w14:textId="77777777" w:rsidR="00C0096B" w:rsidRDefault="00AC7A60">
      <w:pPr>
        <w:spacing w:line="240" w:lineRule="auto"/>
        <w:rPr>
          <w:rFonts w:eastAsiaTheme="majorEastAsia" w:cstheme="majorBidi"/>
          <w:b/>
          <w:color w:val="222A35" w:themeColor="text2" w:themeShade="80"/>
          <w:sz w:val="22"/>
          <w:szCs w:val="24"/>
          <w:lang w:val="pt-PT"/>
        </w:rPr>
      </w:pPr>
      <w:bookmarkStart w:id="18" w:name="_Toc2349146"/>
      <w:bookmarkEnd w:id="17"/>
      <w:r>
        <w:rPr>
          <w:rFonts w:eastAsiaTheme="majorEastAsia" w:cstheme="majorBidi"/>
          <w:b/>
          <w:color w:val="222A35" w:themeColor="text2" w:themeShade="80"/>
          <w:sz w:val="22"/>
          <w:szCs w:val="24"/>
          <w:lang w:val="pt-PT"/>
        </w:rPr>
        <w:t xml:space="preserve">Atividades Económicas </w:t>
      </w:r>
    </w:p>
    <w:p w14:paraId="1DD89496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Descrever as principais atividades económicas da ilha e relacioná-las com o impacto nas emissões de gases com efeito de estufa da Ilha. </w:t>
      </w:r>
    </w:p>
    <w:p w14:paraId="18C8F33F" w14:textId="77777777" w:rsidR="00C0096B" w:rsidRDefault="00C0096B">
      <w:pPr>
        <w:rPr>
          <w:i/>
          <w:color w:val="44546A" w:themeColor="text2"/>
          <w:lang w:val="pt-PT"/>
        </w:rPr>
      </w:pPr>
    </w:p>
    <w:p w14:paraId="70286690" w14:textId="77777777" w:rsidR="00C0096B" w:rsidRDefault="00AC7A60">
      <w:pPr>
        <w:pStyle w:val="Heading3"/>
        <w:rPr>
          <w:lang w:val="pt-PT"/>
        </w:rPr>
      </w:pPr>
      <w:bookmarkStart w:id="19" w:name="_Toc30430907"/>
      <w:r>
        <w:rPr>
          <w:lang w:val="pt-PT"/>
        </w:rPr>
        <w:t>Conexão com o continente</w:t>
      </w:r>
      <w:bookmarkEnd w:id="19"/>
      <w:r>
        <w:rPr>
          <w:lang w:val="pt-PT"/>
        </w:rPr>
        <w:t xml:space="preserve"> </w:t>
      </w:r>
      <w:bookmarkEnd w:id="18"/>
    </w:p>
    <w:p w14:paraId="58F3A8BC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Descrever a relação da Ilha com o continente, incluindo ligações físicas como rotas de barcos, pontes ou cabos elétricos (embora isto deva ser mais desenvolvido na secção Descrição do Sistema Energético).  Referir-se também a outras dependências (por exemplo, parte de um município ou região do continente). </w:t>
      </w:r>
    </w:p>
    <w:p w14:paraId="169D090B" w14:textId="77777777" w:rsidR="00C0096B" w:rsidRDefault="00AC7A60">
      <w:pPr>
        <w:spacing w:line="259" w:lineRule="auto"/>
        <w:jc w:val="left"/>
        <w:rPr>
          <w:lang w:val="pt-PT"/>
        </w:rPr>
      </w:pPr>
      <w:r>
        <w:rPr>
          <w:b/>
          <w:lang w:val="pt-PT"/>
        </w:rPr>
        <w:br w:type="page"/>
      </w:r>
    </w:p>
    <w:p w14:paraId="2170AF2F" w14:textId="77777777" w:rsidR="00C0096B" w:rsidRDefault="00AC7A60">
      <w:pPr>
        <w:pStyle w:val="Heading2"/>
        <w:rPr>
          <w:lang w:val="pt-PT"/>
        </w:rPr>
      </w:pPr>
      <w:bookmarkStart w:id="20" w:name="_Toc30430908"/>
      <w:r>
        <w:rPr>
          <w:lang w:val="pt-PT"/>
        </w:rPr>
        <w:lastRenderedPageBreak/>
        <w:t>Descrição do Sistema Energético</w:t>
      </w:r>
      <w:bookmarkEnd w:id="20"/>
    </w:p>
    <w:p w14:paraId="7AFD5CC9" w14:textId="77777777" w:rsidR="00C0096B" w:rsidRDefault="00AC7A60">
      <w:pPr>
        <w:spacing w:line="240" w:lineRule="auto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 xml:space="preserve">O objetivo da descrição do sistema energético da </w:t>
      </w:r>
      <w:r>
        <w:rPr>
          <w:i/>
          <w:color w:val="2F5496" w:themeColor="accent1" w:themeShade="BF"/>
          <w:lang w:val="pt-PT"/>
        </w:rPr>
        <w:t>Ilha</w:t>
      </w:r>
      <w:r>
        <w:rPr>
          <w:i/>
          <w:color w:val="2F5496" w:themeColor="accent1" w:themeShade="BF"/>
          <w:szCs w:val="20"/>
          <w:lang w:val="pt-PT"/>
        </w:rPr>
        <w:t xml:space="preserve"> depende dos conhecimentos técnicos disponíveis na mesma. É recomendado um diagnóstico completo do sistema energético para cada um dos vetores energéticos relevantes na ilha, por exemplo:</w:t>
      </w:r>
    </w:p>
    <w:p w14:paraId="64DD8C7E" w14:textId="77777777" w:rsidR="00C0096B" w:rsidRDefault="00AC7A60">
      <w:pPr>
        <w:pStyle w:val="ListParagraph"/>
        <w:numPr>
          <w:ilvl w:val="0"/>
          <w:numId w:val="10"/>
        </w:numPr>
        <w:spacing w:line="240" w:lineRule="auto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Energia elétrica</w:t>
      </w:r>
    </w:p>
    <w:p w14:paraId="2263B92F" w14:textId="77777777" w:rsidR="00C0096B" w:rsidRDefault="00AC7A60">
      <w:pPr>
        <w:pStyle w:val="ListParagraph"/>
        <w:numPr>
          <w:ilvl w:val="0"/>
          <w:numId w:val="10"/>
        </w:numPr>
        <w:spacing w:line="240" w:lineRule="auto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Aquecimento e refrigeração</w:t>
      </w:r>
    </w:p>
    <w:p w14:paraId="66C3F9C4" w14:textId="77777777" w:rsidR="00C0096B" w:rsidRDefault="00AC7A60">
      <w:pPr>
        <w:pStyle w:val="ListParagraph"/>
        <w:numPr>
          <w:ilvl w:val="0"/>
          <w:numId w:val="10"/>
        </w:numPr>
        <w:spacing w:line="240" w:lineRule="auto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 xml:space="preserve">Transportes dentro da </w:t>
      </w:r>
      <w:r>
        <w:rPr>
          <w:i/>
          <w:color w:val="2F5496" w:themeColor="accent1" w:themeShade="BF"/>
          <w:lang w:val="pt-PT"/>
        </w:rPr>
        <w:t>Ilha</w:t>
      </w:r>
    </w:p>
    <w:p w14:paraId="0751CF2A" w14:textId="77777777" w:rsidR="00C0096B" w:rsidRDefault="00AC7A60">
      <w:pPr>
        <w:pStyle w:val="ListParagraph"/>
        <w:numPr>
          <w:ilvl w:val="0"/>
          <w:numId w:val="10"/>
        </w:numPr>
        <w:spacing w:line="240" w:lineRule="auto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 xml:space="preserve">Transportes de e para a </w:t>
      </w:r>
      <w:r>
        <w:rPr>
          <w:i/>
          <w:color w:val="2F5496" w:themeColor="accent1" w:themeShade="BF"/>
          <w:lang w:val="pt-PT"/>
        </w:rPr>
        <w:t>Ilha</w:t>
      </w:r>
    </w:p>
    <w:p w14:paraId="68853481" w14:textId="77777777" w:rsidR="00C0096B" w:rsidRDefault="00AC7A60">
      <w:pPr>
        <w:spacing w:line="240" w:lineRule="auto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 xml:space="preserve">Informações precisas, recentes e detalhadas sobre o consumo de energia e sobre as fontes de emissão de gases de efeito estufa (GEE) permitem desenvolver um plano relevante e que promove uma alocação eficiente de recursos. Embora o Secretariado encoraje as ilhas a realizar uma análise energética tão exaustiva quanto possível, a falta de dados sobre um determinado vetor não deve constituir uma limitação ao desenvolvimento de uma Agenda de Transição para Energia Limpa. O objetivo desta secção é dar um retrato dos vetores que dominam o consumo de energia na </w:t>
      </w:r>
      <w:r>
        <w:rPr>
          <w:i/>
          <w:color w:val="2F5496" w:themeColor="accent1" w:themeShade="BF"/>
          <w:lang w:val="pt-PT"/>
        </w:rPr>
        <w:t>Ilha</w:t>
      </w:r>
      <w:r>
        <w:rPr>
          <w:i/>
          <w:color w:val="2F5496" w:themeColor="accent1" w:themeShade="BF"/>
          <w:szCs w:val="20"/>
          <w:lang w:val="pt-PT"/>
        </w:rPr>
        <w:t xml:space="preserve"> e que geram as maiores emissões de GEE. Se não houver dados oficiais disponíveis, o consumo de energia e as emissões podem ser estimados com base determinados pressupostos. </w:t>
      </w:r>
    </w:p>
    <w:p w14:paraId="593C262F" w14:textId="77777777" w:rsidR="00C0096B" w:rsidRDefault="00AC7A60">
      <w:pPr>
        <w:spacing w:line="240" w:lineRule="auto"/>
        <w:rPr>
          <w:b/>
          <w:i/>
          <w:color w:val="2F5496" w:themeColor="accent1" w:themeShade="BF"/>
          <w:szCs w:val="20"/>
          <w:lang w:val="pt-PT"/>
        </w:rPr>
      </w:pPr>
      <w:r>
        <w:rPr>
          <w:b/>
          <w:i/>
          <w:color w:val="2F5496" w:themeColor="accent1" w:themeShade="BF"/>
          <w:szCs w:val="20"/>
          <w:lang w:val="pt-PT"/>
        </w:rPr>
        <w:t>Mais informações sobre como desenvolver a Descrição do Sistema Energético da Ilha (incluindo como recolher dados ou como estimá-los caso não estejam disponíveis) podem ser encontradas no Manual de Transição para Energia Limpa da Ilha, Capítulo 3 "Compreendendo a Dinâmica da Ilha", Secção: "Descrição do Sistema Energético".</w:t>
      </w:r>
    </w:p>
    <w:p w14:paraId="7391B36F" w14:textId="77777777" w:rsidR="00C0096B" w:rsidRDefault="00AC7A60">
      <w:pPr>
        <w:spacing w:line="240" w:lineRule="auto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 xml:space="preserve">As ilhas que desenvolveram um inventário de emissões de base podem inserir um resumo dos resultados na sua Agenda de Transição para Energia Limpa. Para orientação sobre o desenvolvimento de um inventário de base de referência de emissões, as ilhas são referidas ao </w:t>
      </w:r>
      <w:r w:rsidR="001D226C">
        <w:fldChar w:fldCharType="begin"/>
      </w:r>
      <w:r w:rsidR="001D226C" w:rsidRPr="00E87DCB">
        <w:rPr>
          <w:lang w:val="pt-PT"/>
        </w:rPr>
        <w:instrText xml:space="preserve"> HYPERLINK "https:</w:instrText>
      </w:r>
      <w:r w:rsidR="001D226C" w:rsidRPr="00E87DCB">
        <w:rPr>
          <w:lang w:val="pt-PT"/>
        </w:rPr>
        <w:instrText xml:space="preserve">//publications.jrc.ec.europa.eu/repository/bitstream/JRC112986/jrc112986_kj-nb-29412-en-n.pdf" </w:instrText>
      </w:r>
      <w:r w:rsidR="001D226C">
        <w:fldChar w:fldCharType="separate"/>
      </w:r>
      <w:r>
        <w:rPr>
          <w:rStyle w:val="Hyperlink"/>
          <w:i/>
          <w:szCs w:val="20"/>
          <w:lang w:val="pt-PT"/>
        </w:rPr>
        <w:t>material de referência desenvolvido pelo Pacto de Autarcas</w:t>
      </w:r>
      <w:r w:rsidR="001D226C">
        <w:rPr>
          <w:rStyle w:val="Hyperlink"/>
          <w:i/>
          <w:szCs w:val="20"/>
          <w:lang w:val="pt-PT"/>
        </w:rPr>
        <w:fldChar w:fldCharType="end"/>
      </w:r>
      <w:r>
        <w:rPr>
          <w:i/>
          <w:color w:val="2F5496" w:themeColor="accent1" w:themeShade="BF"/>
          <w:szCs w:val="20"/>
          <w:lang w:val="pt-PT"/>
        </w:rPr>
        <w:t xml:space="preserve"> </w:t>
      </w:r>
      <w:r>
        <w:rPr>
          <w:i/>
          <w:color w:val="FF0000"/>
          <w:szCs w:val="20"/>
          <w:lang w:val="pt-PT"/>
        </w:rPr>
        <w:t xml:space="preserve">[1]. </w:t>
      </w:r>
      <w:r>
        <w:rPr>
          <w:i/>
          <w:color w:val="2F5496" w:themeColor="accent1" w:themeShade="BF"/>
          <w:szCs w:val="20"/>
          <w:lang w:val="pt-PT"/>
        </w:rPr>
        <w:t>Por favor é de salientar que  a existência de um inventário completo de emissões não constitui um requisito mínimo para completar a Agenda de Transição para  Energia Limpa.</w:t>
      </w:r>
    </w:p>
    <w:p w14:paraId="379DABC6" w14:textId="77777777" w:rsidR="00C0096B" w:rsidRDefault="00AC7A60">
      <w:pPr>
        <w:spacing w:line="240" w:lineRule="auto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 xml:space="preserve">Os dados recolhidos sobre todos os vetores energéticos podem ser resumidos de acordo com as </w:t>
      </w:r>
      <w:r>
        <w:rPr>
          <w:i/>
          <w:color w:val="FF0000"/>
          <w:szCs w:val="20"/>
          <w:lang w:val="pt-PT"/>
        </w:rPr>
        <w:t xml:space="preserve">Tabelas 1 e 2 </w:t>
      </w:r>
      <w:r>
        <w:rPr>
          <w:i/>
          <w:color w:val="2F5496" w:themeColor="accent1" w:themeShade="BF"/>
          <w:szCs w:val="20"/>
          <w:lang w:val="pt-PT"/>
        </w:rPr>
        <w:t>(abaixo). No entanto, a secção Descrição do Sistema Energético não se limita aos dados: deve também incluir texto descrevendo como a energia é produzida e consumida na Ilha, a fim de fornecer uma descrição completa dos sistemas energéticos da mesma.</w:t>
      </w:r>
    </w:p>
    <w:p w14:paraId="36D3ADE9" w14:textId="77777777" w:rsidR="00C0096B" w:rsidRDefault="00AC7A60">
      <w:pPr>
        <w:spacing w:line="240" w:lineRule="auto"/>
        <w:rPr>
          <w:b/>
          <w:i/>
          <w:color w:val="2F5496" w:themeColor="accent1" w:themeShade="BF"/>
          <w:szCs w:val="20"/>
          <w:lang w:val="pt-PT"/>
        </w:rPr>
      </w:pPr>
      <w:r>
        <w:rPr>
          <w:b/>
          <w:i/>
          <w:color w:val="2F5496" w:themeColor="accent1" w:themeShade="BF"/>
          <w:szCs w:val="20"/>
          <w:lang w:val="pt-PT"/>
        </w:rPr>
        <w:br w:type="page"/>
      </w:r>
    </w:p>
    <w:p w14:paraId="71C39B75" w14:textId="77777777" w:rsidR="00C0096B" w:rsidRDefault="00C0096B">
      <w:pPr>
        <w:spacing w:line="240" w:lineRule="auto"/>
        <w:rPr>
          <w:b/>
          <w:i/>
          <w:color w:val="2F5496" w:themeColor="accent1" w:themeShade="BF"/>
          <w:szCs w:val="20"/>
          <w:lang w:val="pt-PT"/>
        </w:rPr>
      </w:pPr>
    </w:p>
    <w:p w14:paraId="782FD335" w14:textId="77777777" w:rsidR="00C0096B" w:rsidRDefault="00AC7A60">
      <w:pPr>
        <w:pStyle w:val="Caption1"/>
        <w:rPr>
          <w:lang w:val="pt-PT"/>
        </w:rPr>
      </w:pPr>
      <w:bookmarkStart w:id="21" w:name="_Ref23426124"/>
      <w:r>
        <w:rPr>
          <w:lang w:val="pt-PT"/>
        </w:rPr>
        <w:t xml:space="preserve">Tabela </w:t>
      </w:r>
      <w:r>
        <w:rPr>
          <w:lang w:val="pt-PT"/>
        </w:rPr>
        <w:fldChar w:fldCharType="begin"/>
      </w:r>
      <w:r>
        <w:rPr>
          <w:lang w:val="pt-PT"/>
        </w:rPr>
        <w:instrText xml:space="preserve"> SEQ Table \* ARABIC </w:instrText>
      </w:r>
      <w:r>
        <w:rPr>
          <w:lang w:val="pt-PT"/>
        </w:rPr>
        <w:fldChar w:fldCharType="separate"/>
      </w:r>
      <w:r>
        <w:rPr>
          <w:lang w:val="pt-PT"/>
        </w:rPr>
        <w:t>1</w:t>
      </w:r>
      <w:r>
        <w:rPr>
          <w:lang w:val="pt-PT"/>
        </w:rPr>
        <w:fldChar w:fldCharType="end"/>
      </w:r>
      <w:bookmarkEnd w:id="21"/>
      <w:r>
        <w:rPr>
          <w:lang w:val="pt-PT"/>
        </w:rPr>
        <w:t xml:space="preserve"> - Exemplo de tabela para resumir o consumo final de energia na Ilha. Recomenda-se incluir dados tão detalhados quanto possível por vetor energético. No entanto, se não estiver disponível, a tabela pode ser adaptada à informação que que está acessível.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823"/>
        <w:gridCol w:w="1139"/>
        <w:gridCol w:w="1417"/>
        <w:gridCol w:w="2410"/>
      </w:tblGrid>
      <w:tr w:rsidR="00C0096B" w14:paraId="6B029FD1" w14:textId="77777777">
        <w:tc>
          <w:tcPr>
            <w:tcW w:w="3823" w:type="dxa"/>
            <w:tcBorders>
              <w:bottom w:val="single" w:sz="4" w:space="0" w:color="000000"/>
            </w:tcBorders>
          </w:tcPr>
          <w:p w14:paraId="5DC69442" w14:textId="77777777" w:rsidR="00C0096B" w:rsidRDefault="00AC7A60">
            <w:pPr>
              <w:spacing w:after="120"/>
              <w:rPr>
                <w:b/>
                <w:lang w:val="pt-PT"/>
              </w:rPr>
            </w:pPr>
            <w:r>
              <w:rPr>
                <w:b/>
                <w:highlight w:val="green"/>
                <w:lang w:val="pt-PT"/>
              </w:rPr>
              <w:t>Data por ano 201X</w:t>
            </w:r>
          </w:p>
        </w:tc>
        <w:tc>
          <w:tcPr>
            <w:tcW w:w="2556" w:type="dxa"/>
            <w:gridSpan w:val="2"/>
            <w:tcBorders>
              <w:bottom w:val="single" w:sz="4" w:space="0" w:color="000000"/>
            </w:tcBorders>
          </w:tcPr>
          <w:p w14:paraId="2632997F" w14:textId="77777777" w:rsidR="00C0096B" w:rsidRDefault="00AC7A60">
            <w:pPr>
              <w:spacing w:after="0"/>
              <w:jc w:val="right"/>
              <w:rPr>
                <w:lang w:val="pt-PT"/>
              </w:rPr>
            </w:pPr>
            <w:r>
              <w:rPr>
                <w:lang w:val="pt-PT"/>
              </w:rPr>
              <w:t>Consumo Final de energia</w:t>
            </w:r>
          </w:p>
          <w:p w14:paraId="7E3757BA" w14:textId="77777777" w:rsidR="00C0096B" w:rsidRDefault="00AC7A60">
            <w:pPr>
              <w:spacing w:after="120"/>
              <w:ind w:firstLine="464"/>
              <w:jc w:val="right"/>
              <w:rPr>
                <w:lang w:val="pt-PT"/>
              </w:rPr>
            </w:pPr>
            <w:r>
              <w:rPr>
                <w:lang w:val="pt-PT"/>
              </w:rPr>
              <w:t>[MWh]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C2D7C6C" w14:textId="77777777" w:rsidR="00C0096B" w:rsidRDefault="00AC7A60">
            <w:pPr>
              <w:spacing w:after="0"/>
              <w:jc w:val="right"/>
              <w:rPr>
                <w:lang w:val="pt-PT"/>
              </w:rPr>
            </w:pPr>
            <w:r>
              <w:rPr>
                <w:lang w:val="pt-PT"/>
              </w:rPr>
              <w:t>Emissões de CO</w:t>
            </w:r>
            <w:r>
              <w:rPr>
                <w:vertAlign w:val="subscript"/>
                <w:lang w:val="pt-PT"/>
              </w:rPr>
              <w:t>2</w:t>
            </w:r>
          </w:p>
          <w:p w14:paraId="680B0CD4" w14:textId="77777777" w:rsidR="00C0096B" w:rsidRDefault="00C0096B">
            <w:pPr>
              <w:spacing w:after="0"/>
              <w:jc w:val="right"/>
              <w:rPr>
                <w:lang w:val="pt-PT"/>
              </w:rPr>
            </w:pPr>
          </w:p>
          <w:p w14:paraId="0AF819CE" w14:textId="77777777" w:rsidR="00C0096B" w:rsidRDefault="00AC7A60">
            <w:pPr>
              <w:spacing w:after="120"/>
              <w:jc w:val="right"/>
              <w:rPr>
                <w:lang w:val="pt-PT"/>
              </w:rPr>
            </w:pPr>
            <w:r>
              <w:rPr>
                <w:lang w:val="pt-PT"/>
              </w:rPr>
              <w:t>[ton]</w:t>
            </w:r>
          </w:p>
        </w:tc>
      </w:tr>
      <w:tr w:rsidR="00C0096B" w14:paraId="6688C9E4" w14:textId="77777777">
        <w:trPr>
          <w:trHeight w:hRule="exact" w:val="397"/>
        </w:trPr>
        <w:tc>
          <w:tcPr>
            <w:tcW w:w="3823" w:type="dxa"/>
            <w:tcBorders>
              <w:top w:val="single" w:sz="4" w:space="0" w:color="000000"/>
              <w:bottom w:val="nil"/>
            </w:tcBorders>
            <w:vAlign w:val="center"/>
          </w:tcPr>
          <w:p w14:paraId="5EBA06AA" w14:textId="77777777" w:rsidR="00C0096B" w:rsidRDefault="00AC7A60">
            <w:pPr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Consumo de eletricidade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219E9DC6" w14:textId="77777777" w:rsidR="00C0096B" w:rsidRDefault="00C0096B">
            <w:pPr>
              <w:spacing w:after="0"/>
              <w:jc w:val="right"/>
              <w:rPr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5D176BA0" w14:textId="77777777" w:rsidR="00C0096B" w:rsidRDefault="00C0096B">
            <w:pPr>
              <w:spacing w:after="0"/>
              <w:jc w:val="right"/>
              <w:rPr>
                <w:lang w:val="pt-PT"/>
              </w:rPr>
            </w:pPr>
          </w:p>
        </w:tc>
      </w:tr>
      <w:tr w:rsidR="00C0096B" w14:paraId="44913A6A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28B617D5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Residencial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6CBCFE59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9769079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0E2F16A4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127AC0CA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Agricultura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0A42B56A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C36678B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1F1B4EA1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3F844E92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Indústria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51C70B55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0AA2FB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62E2D2A8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single" w:sz="4" w:space="0" w:color="000000"/>
            </w:tcBorders>
          </w:tcPr>
          <w:p w14:paraId="75A428FD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Serviços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000000"/>
            </w:tcBorders>
          </w:tcPr>
          <w:p w14:paraId="35C55C16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6F6A7A4D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2C755293" w14:textId="77777777">
        <w:trPr>
          <w:trHeight w:hRule="exact" w:val="397"/>
        </w:trPr>
        <w:tc>
          <w:tcPr>
            <w:tcW w:w="3823" w:type="dxa"/>
            <w:tcBorders>
              <w:top w:val="single" w:sz="4" w:space="0" w:color="000000"/>
              <w:bottom w:val="nil"/>
            </w:tcBorders>
            <w:vAlign w:val="center"/>
          </w:tcPr>
          <w:p w14:paraId="32B86C72" w14:textId="77777777" w:rsidR="00C0096B" w:rsidRDefault="00AC7A60">
            <w:pPr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Transporte na ilha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8251D17" w14:textId="77777777" w:rsidR="00C0096B" w:rsidRDefault="00C0096B">
            <w:pPr>
              <w:spacing w:after="0"/>
              <w:jc w:val="right"/>
              <w:rPr>
                <w:i/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72D9E6BA" w14:textId="77777777" w:rsidR="00C0096B" w:rsidRDefault="00C0096B">
            <w:pPr>
              <w:spacing w:after="0"/>
              <w:jc w:val="right"/>
              <w:rPr>
                <w:i/>
                <w:lang w:val="pt-PT"/>
              </w:rPr>
            </w:pPr>
          </w:p>
        </w:tc>
      </w:tr>
      <w:tr w:rsidR="00C0096B" w14:paraId="710C3466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2BEDA58C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Automóveis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56F4C506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73756DE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7EE94F18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7C431E45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“Vans”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35ED2897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3AF581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06EC9628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578C47E0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Motocicletas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3BAE3577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545EEF3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3BA68213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3D4920A6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Autocarros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397648E9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9D7ECDD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2E372235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single" w:sz="4" w:space="0" w:color="000000"/>
            </w:tcBorders>
          </w:tcPr>
          <w:p w14:paraId="7DD8D7AF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etc.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000000"/>
            </w:tcBorders>
          </w:tcPr>
          <w:p w14:paraId="02D74B0A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186678DB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:rsidRPr="00E87DCB" w14:paraId="437FDCC1" w14:textId="77777777">
        <w:trPr>
          <w:trHeight w:hRule="exact" w:val="397"/>
        </w:trPr>
        <w:tc>
          <w:tcPr>
            <w:tcW w:w="3823" w:type="dxa"/>
            <w:tcBorders>
              <w:top w:val="single" w:sz="4" w:space="0" w:color="000000"/>
              <w:bottom w:val="nil"/>
            </w:tcBorders>
          </w:tcPr>
          <w:p w14:paraId="14282206" w14:textId="77777777" w:rsidR="00C0096B" w:rsidRDefault="00AC7A60">
            <w:pPr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Transporte de e para a ilha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2AE00B1" w14:textId="77777777" w:rsidR="00C0096B" w:rsidRDefault="00C0096B">
            <w:pPr>
              <w:spacing w:after="0"/>
              <w:jc w:val="right"/>
              <w:rPr>
                <w:i/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485D6F33" w14:textId="77777777" w:rsidR="00C0096B" w:rsidRDefault="00C0096B">
            <w:pPr>
              <w:spacing w:after="0"/>
              <w:jc w:val="right"/>
              <w:rPr>
                <w:i/>
                <w:lang w:val="pt-PT"/>
              </w:rPr>
            </w:pPr>
          </w:p>
        </w:tc>
      </w:tr>
      <w:tr w:rsidR="00C0096B" w14:paraId="432AEE87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1B44C12A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Transporte marítimo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37B3350F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076141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60378203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610D8AE1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Aviação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5F95D1C6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9D7253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20E85006" w14:textId="77777777">
        <w:trPr>
          <w:trHeight w:hRule="exact" w:val="397"/>
        </w:trPr>
        <w:tc>
          <w:tcPr>
            <w:tcW w:w="3823" w:type="dxa"/>
            <w:tcBorders>
              <w:top w:val="single" w:sz="4" w:space="0" w:color="000000"/>
              <w:bottom w:val="nil"/>
            </w:tcBorders>
          </w:tcPr>
          <w:p w14:paraId="4C839F35" w14:textId="77777777" w:rsidR="00C0096B" w:rsidRDefault="00AC7A60">
            <w:pPr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Aquecimento e refrigeração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707F803B" w14:textId="77777777" w:rsidR="00C0096B" w:rsidRDefault="00C0096B">
            <w:pPr>
              <w:spacing w:after="0"/>
              <w:jc w:val="right"/>
              <w:rPr>
                <w:i/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66673850" w14:textId="77777777" w:rsidR="00C0096B" w:rsidRDefault="00C0096B">
            <w:pPr>
              <w:spacing w:after="0"/>
              <w:jc w:val="right"/>
              <w:rPr>
                <w:i/>
                <w:lang w:val="pt-PT"/>
              </w:rPr>
            </w:pPr>
          </w:p>
        </w:tc>
      </w:tr>
      <w:tr w:rsidR="00C0096B" w14:paraId="52D56388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0B52AC6E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Caldeiras a gás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7DADBEEA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D8217BD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6C989D14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5F58493F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Madeira e pellets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58FEE4DB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59E7FC6" w14:textId="77777777" w:rsidR="00C0096B" w:rsidRDefault="00AC7A60">
            <w:pPr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7A86F0BF" w14:textId="77777777">
        <w:trPr>
          <w:trHeight w:hRule="exact" w:val="284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35CEF36A" w14:textId="77777777" w:rsidR="00C0096B" w:rsidRDefault="00AC7A60">
            <w:pPr>
              <w:spacing w:after="120"/>
              <w:ind w:left="741"/>
              <w:rPr>
                <w:color w:val="7F7F7F" w:themeColor="text1" w:themeTint="80"/>
                <w:lang w:val="pt-PT"/>
              </w:rPr>
            </w:pPr>
            <w:r>
              <w:rPr>
                <w:color w:val="7F7F7F" w:themeColor="text1" w:themeTint="80"/>
                <w:lang w:val="pt-PT"/>
              </w:rPr>
              <w:t>etc.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auto"/>
            </w:tcBorders>
          </w:tcPr>
          <w:p w14:paraId="5F5CF9C1" w14:textId="77777777" w:rsidR="00C0096B" w:rsidRDefault="00AC7A60">
            <w:pPr>
              <w:spacing w:after="120"/>
              <w:ind w:left="741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CE64F90" w14:textId="77777777" w:rsidR="00C0096B" w:rsidRDefault="00AC7A60">
            <w:pPr>
              <w:spacing w:after="120"/>
              <w:ind w:left="741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  <w:tr w:rsidR="00C0096B" w14:paraId="2D7D982B" w14:textId="77777777">
        <w:trPr>
          <w:trHeight w:hRule="exact" w:val="39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EBA63" w14:textId="77777777" w:rsidR="00C0096B" w:rsidRDefault="00AC7A60">
            <w:pPr>
              <w:spacing w:after="0"/>
              <w:ind w:left="741"/>
              <w:jc w:val="right"/>
              <w:rPr>
                <w:b/>
                <w:color w:val="7F7F7F" w:themeColor="text1" w:themeTint="80"/>
                <w:lang w:val="pt-PT"/>
              </w:rPr>
            </w:pPr>
            <w:r>
              <w:rPr>
                <w:b/>
                <w:lang w:val="pt-PT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12A21" w14:textId="77777777" w:rsidR="00C0096B" w:rsidRDefault="00AC7A60">
            <w:pPr>
              <w:spacing w:after="0"/>
              <w:ind w:left="741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1111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9F660" w14:textId="77777777" w:rsidR="00C0096B" w:rsidRDefault="00AC7A60">
            <w:pPr>
              <w:spacing w:after="0"/>
              <w:ind w:left="741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9999</w:t>
            </w:r>
          </w:p>
        </w:tc>
      </w:tr>
    </w:tbl>
    <w:p w14:paraId="4643748D" w14:textId="77777777" w:rsidR="00C0096B" w:rsidRDefault="00C0096B">
      <w:pPr>
        <w:pStyle w:val="Caption"/>
        <w:keepNext/>
        <w:rPr>
          <w:lang w:val="pt-PT"/>
        </w:rPr>
      </w:pPr>
      <w:bookmarkStart w:id="22" w:name="_Ref23426129"/>
    </w:p>
    <w:p w14:paraId="24DB1147" w14:textId="77777777" w:rsidR="00C0096B" w:rsidRDefault="00AC7A60">
      <w:pPr>
        <w:pStyle w:val="Caption"/>
        <w:keepNext/>
        <w:rPr>
          <w:lang w:val="pt-PT"/>
        </w:rPr>
      </w:pPr>
      <w:r>
        <w:rPr>
          <w:lang w:val="pt-PT"/>
        </w:rPr>
        <w:t xml:space="preserve">Tabela </w:t>
      </w:r>
      <w:r>
        <w:rPr>
          <w:lang w:val="pt-PT"/>
        </w:rPr>
        <w:fldChar w:fldCharType="begin"/>
      </w:r>
      <w:r>
        <w:rPr>
          <w:lang w:val="pt-PT"/>
        </w:rPr>
        <w:instrText xml:space="preserve"> SEQ Table \* ARABIC </w:instrText>
      </w:r>
      <w:r>
        <w:rPr>
          <w:lang w:val="pt-PT"/>
        </w:rPr>
        <w:fldChar w:fldCharType="separate"/>
      </w:r>
      <w:r>
        <w:rPr>
          <w:lang w:val="pt-PT"/>
        </w:rPr>
        <w:t>2</w:t>
      </w:r>
      <w:r>
        <w:rPr>
          <w:lang w:val="pt-PT"/>
        </w:rPr>
        <w:fldChar w:fldCharType="end"/>
      </w:r>
      <w:bookmarkEnd w:id="22"/>
      <w:r>
        <w:rPr>
          <w:lang w:val="pt-PT"/>
        </w:rPr>
        <w:t xml:space="preserve"> - Exemplo de tabela a ser incluída para as Ilhas onde a energia elétrica é produzida no local. Para a produção de energia fóssil, o consumo de energia primária tem de ser indicado aqui. As energias renováveis não consomem energia primária no processo de produção de eletricidade; portanto, essas células devem ser deixadas em branco.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2"/>
        <w:gridCol w:w="1710"/>
        <w:gridCol w:w="2213"/>
        <w:gridCol w:w="1887"/>
      </w:tblGrid>
      <w:tr w:rsidR="00C0096B" w14:paraId="2ABBE90B" w14:textId="77777777">
        <w:trPr>
          <w:trHeight w:val="1203"/>
        </w:trPr>
        <w:tc>
          <w:tcPr>
            <w:tcW w:w="3262" w:type="dxa"/>
            <w:tcBorders>
              <w:bottom w:val="single" w:sz="4" w:space="0" w:color="000000"/>
            </w:tcBorders>
          </w:tcPr>
          <w:p w14:paraId="03329249" w14:textId="77777777" w:rsidR="00C0096B" w:rsidRDefault="00AC7A60">
            <w:pPr>
              <w:spacing w:after="120"/>
              <w:rPr>
                <w:b/>
                <w:lang w:val="pt-PT"/>
              </w:rPr>
            </w:pPr>
            <w:r>
              <w:rPr>
                <w:b/>
                <w:highlight w:val="green"/>
                <w:lang w:val="pt-PT"/>
              </w:rPr>
              <w:t>Data por ano 201X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4622A48E" w14:textId="77777777" w:rsidR="00C0096B" w:rsidRDefault="00AC7A60">
            <w:pPr>
              <w:jc w:val="right"/>
              <w:rPr>
                <w:b/>
                <w:lang w:val="pt-PT"/>
              </w:rPr>
            </w:pPr>
            <w:r>
              <w:rPr>
                <w:b/>
                <w:lang w:val="pt-PT"/>
              </w:rPr>
              <w:t>Produção total de energia [MWh]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3A0FB19B" w14:textId="77777777" w:rsidR="00C0096B" w:rsidRDefault="00AC7A60">
            <w:pPr>
              <w:spacing w:after="0"/>
              <w:jc w:val="right"/>
              <w:rPr>
                <w:b/>
                <w:lang w:val="pt-PT"/>
              </w:rPr>
            </w:pPr>
            <w:r>
              <w:rPr>
                <w:b/>
                <w:lang w:val="pt-PT"/>
              </w:rPr>
              <w:t>Consumo de energia primaria</w:t>
            </w:r>
          </w:p>
          <w:p w14:paraId="071D65DF" w14:textId="77777777" w:rsidR="00C0096B" w:rsidRDefault="00AC7A60">
            <w:pPr>
              <w:spacing w:after="120"/>
              <w:ind w:firstLine="464"/>
              <w:jc w:val="right"/>
              <w:rPr>
                <w:b/>
                <w:lang w:val="pt-PT"/>
              </w:rPr>
            </w:pPr>
            <w:r>
              <w:rPr>
                <w:b/>
                <w:lang w:val="pt-PT"/>
              </w:rPr>
              <w:t>[MWh]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14:paraId="0DD9D855" w14:textId="77777777" w:rsidR="00C0096B" w:rsidRDefault="00AC7A60">
            <w:pPr>
              <w:spacing w:after="0"/>
              <w:jc w:val="right"/>
              <w:rPr>
                <w:b/>
                <w:lang w:val="pt-PT"/>
              </w:rPr>
            </w:pPr>
            <w:r>
              <w:rPr>
                <w:b/>
                <w:lang w:val="pt-PT"/>
              </w:rPr>
              <w:t>Emissões de CO</w:t>
            </w:r>
            <w:r>
              <w:rPr>
                <w:b/>
                <w:vertAlign w:val="subscript"/>
                <w:lang w:val="pt-PT"/>
              </w:rPr>
              <w:t>2</w:t>
            </w:r>
          </w:p>
          <w:p w14:paraId="794CF0D2" w14:textId="77777777" w:rsidR="00C0096B" w:rsidRDefault="00C0096B">
            <w:pPr>
              <w:spacing w:after="0"/>
              <w:jc w:val="right"/>
              <w:rPr>
                <w:b/>
                <w:lang w:val="pt-PT"/>
              </w:rPr>
            </w:pPr>
          </w:p>
          <w:p w14:paraId="17BF8E1F" w14:textId="77777777" w:rsidR="00C0096B" w:rsidRDefault="00AC7A60">
            <w:pPr>
              <w:spacing w:after="120"/>
              <w:jc w:val="right"/>
              <w:rPr>
                <w:b/>
                <w:lang w:val="pt-PT"/>
              </w:rPr>
            </w:pPr>
            <w:r>
              <w:rPr>
                <w:b/>
                <w:lang w:val="pt-PT"/>
              </w:rPr>
              <w:t>[ton]</w:t>
            </w:r>
          </w:p>
        </w:tc>
      </w:tr>
      <w:tr w:rsidR="00C0096B" w14:paraId="33C4E917" w14:textId="77777777">
        <w:trPr>
          <w:trHeight w:hRule="exact" w:val="340"/>
        </w:trPr>
        <w:tc>
          <w:tcPr>
            <w:tcW w:w="326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5E8242A" w14:textId="77777777" w:rsidR="00C0096B" w:rsidRDefault="00AC7A60">
            <w:pPr>
              <w:spacing w:before="120" w:after="120"/>
              <w:ind w:left="33"/>
              <w:rPr>
                <w:lang w:val="pt-PT"/>
              </w:rPr>
            </w:pPr>
            <w:r>
              <w:rPr>
                <w:lang w:val="pt-PT"/>
              </w:rPr>
              <w:t>Geradores a gasóleo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14:paraId="35C01894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XX</w:t>
            </w:r>
          </w:p>
        </w:tc>
        <w:tc>
          <w:tcPr>
            <w:tcW w:w="2213" w:type="dxa"/>
            <w:tcBorders>
              <w:top w:val="single" w:sz="4" w:space="0" w:color="000000"/>
              <w:bottom w:val="nil"/>
            </w:tcBorders>
          </w:tcPr>
          <w:p w14:paraId="257BBDE2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XX</w:t>
            </w:r>
          </w:p>
        </w:tc>
        <w:tc>
          <w:tcPr>
            <w:tcW w:w="1887" w:type="dxa"/>
            <w:tcBorders>
              <w:top w:val="single" w:sz="4" w:space="0" w:color="000000"/>
              <w:bottom w:val="nil"/>
            </w:tcBorders>
          </w:tcPr>
          <w:p w14:paraId="173051F5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XX</w:t>
            </w:r>
          </w:p>
        </w:tc>
      </w:tr>
      <w:tr w:rsidR="00C0096B" w14:paraId="7F4F30E3" w14:textId="77777777">
        <w:trPr>
          <w:trHeight w:hRule="exact" w:val="340"/>
        </w:trPr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</w:tcPr>
          <w:p w14:paraId="242EDCF7" w14:textId="77777777" w:rsidR="00C0096B" w:rsidRDefault="00AC7A60">
            <w:pPr>
              <w:spacing w:before="120" w:after="120"/>
              <w:ind w:left="33"/>
              <w:rPr>
                <w:lang w:val="pt-PT"/>
              </w:rPr>
            </w:pPr>
            <w:r>
              <w:rPr>
                <w:lang w:val="pt-PT"/>
              </w:rPr>
              <w:t>Turbinas a gás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4DFBFC1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YY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6CC28A8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YY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61406AD4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YY</w:t>
            </w:r>
          </w:p>
        </w:tc>
      </w:tr>
      <w:tr w:rsidR="00C0096B" w14:paraId="4B1421BB" w14:textId="77777777">
        <w:trPr>
          <w:trHeight w:hRule="exact" w:val="340"/>
        </w:trPr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</w:tcPr>
          <w:p w14:paraId="1C13678F" w14:textId="77777777" w:rsidR="00C0096B" w:rsidRDefault="00AC7A60">
            <w:pPr>
              <w:spacing w:before="120" w:after="120"/>
              <w:ind w:left="33"/>
              <w:rPr>
                <w:lang w:val="pt-PT"/>
              </w:rPr>
            </w:pPr>
            <w:r>
              <w:rPr>
                <w:lang w:val="pt-PT"/>
              </w:rPr>
              <w:t>energia solar fotovoltaica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F788C6D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ZZ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EB00345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--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017A4776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--</w:t>
            </w:r>
          </w:p>
        </w:tc>
      </w:tr>
      <w:tr w:rsidR="00C0096B" w14:paraId="7CDDBBBC" w14:textId="77777777">
        <w:trPr>
          <w:trHeight w:hRule="exact" w:val="424"/>
        </w:trPr>
        <w:tc>
          <w:tcPr>
            <w:tcW w:w="3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ECEB0" w14:textId="77777777" w:rsidR="00C0096B" w:rsidRDefault="00AC7A60">
            <w:pPr>
              <w:spacing w:before="120" w:after="120"/>
              <w:ind w:left="33"/>
              <w:rPr>
                <w:lang w:val="pt-PT"/>
              </w:rPr>
            </w:pPr>
            <w:r>
              <w:rPr>
                <w:lang w:val="pt-PT"/>
              </w:rPr>
              <w:t>Vento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762C0D60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TT</w:t>
            </w: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</w:tcPr>
          <w:p w14:paraId="130A1B1B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--</w:t>
            </w: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</w:tcPr>
          <w:p w14:paraId="05BE9EC6" w14:textId="77777777" w:rsidR="00C0096B" w:rsidRDefault="00AC7A60">
            <w:pPr>
              <w:spacing w:before="12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--</w:t>
            </w:r>
          </w:p>
        </w:tc>
      </w:tr>
      <w:tr w:rsidR="00C0096B" w14:paraId="7018AFA1" w14:textId="77777777">
        <w:trPr>
          <w:trHeight w:hRule="exact" w:val="424"/>
        </w:trPr>
        <w:tc>
          <w:tcPr>
            <w:tcW w:w="32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782922" w14:textId="77777777" w:rsidR="00C0096B" w:rsidRDefault="00AC7A60">
            <w:pPr>
              <w:spacing w:after="0"/>
              <w:ind w:left="33"/>
              <w:jc w:val="right"/>
              <w:rPr>
                <w:b/>
                <w:lang w:val="pt-PT"/>
              </w:rPr>
            </w:pPr>
            <w:r>
              <w:rPr>
                <w:b/>
                <w:lang w:val="pt-PT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9CEF7B5" w14:textId="77777777" w:rsidR="00C0096B" w:rsidRDefault="00AC7A60">
            <w:pPr>
              <w:spacing w:after="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XYZT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401CC58" w14:textId="77777777" w:rsidR="00C0096B" w:rsidRDefault="00AC7A60">
            <w:pPr>
              <w:spacing w:after="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XY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40933E6" w14:textId="77777777" w:rsidR="00C0096B" w:rsidRDefault="00AC7A60">
            <w:pPr>
              <w:spacing w:after="0"/>
              <w:jc w:val="right"/>
              <w:rPr>
                <w:i/>
                <w:color w:val="7F7F7F" w:themeColor="text1" w:themeTint="80"/>
                <w:lang w:val="pt-PT"/>
              </w:rPr>
            </w:pPr>
            <w:r>
              <w:rPr>
                <w:i/>
                <w:color w:val="7F7F7F" w:themeColor="text1" w:themeTint="80"/>
                <w:lang w:val="pt-PT"/>
              </w:rPr>
              <w:t>XY</w:t>
            </w:r>
          </w:p>
        </w:tc>
      </w:tr>
    </w:tbl>
    <w:p w14:paraId="7E16B2B7" w14:textId="77777777" w:rsidR="00C0096B" w:rsidRDefault="00C0096B">
      <w:pPr>
        <w:rPr>
          <w:lang w:val="pt-PT"/>
        </w:rPr>
      </w:pPr>
    </w:p>
    <w:p w14:paraId="47D300CE" w14:textId="77777777" w:rsidR="00C0096B" w:rsidRDefault="00AC7A60">
      <w:pPr>
        <w:spacing w:line="259" w:lineRule="auto"/>
        <w:jc w:val="left"/>
        <w:rPr>
          <w:lang w:val="pt-PT"/>
        </w:rPr>
      </w:pPr>
      <w:r>
        <w:rPr>
          <w:b/>
          <w:lang w:val="pt-PT"/>
        </w:rPr>
        <w:br w:type="page"/>
      </w:r>
    </w:p>
    <w:p w14:paraId="04D2AF17" w14:textId="77777777" w:rsidR="00C0096B" w:rsidRDefault="00AC7A60">
      <w:pPr>
        <w:pStyle w:val="Heading2"/>
        <w:rPr>
          <w:lang w:val="pt-PT"/>
        </w:rPr>
      </w:pPr>
      <w:bookmarkStart w:id="23" w:name="_Toc30430909"/>
      <w:r>
        <w:rPr>
          <w:lang w:val="pt-PT"/>
        </w:rPr>
        <w:lastRenderedPageBreak/>
        <w:t>Mapeamento das partes interessadas (</w:t>
      </w:r>
      <w:r>
        <w:rPr>
          <w:i/>
          <w:lang w:val="pt-PT"/>
        </w:rPr>
        <w:t>stakeholders</w:t>
      </w:r>
      <w:r>
        <w:rPr>
          <w:lang w:val="pt-PT"/>
        </w:rPr>
        <w:t>)</w:t>
      </w:r>
      <w:bookmarkEnd w:id="23"/>
    </w:p>
    <w:p w14:paraId="2193A713" w14:textId="77777777" w:rsidR="00C0096B" w:rsidRDefault="00AC7A60">
      <w:pPr>
        <w:pStyle w:val="Default"/>
        <w:rPr>
          <w:i/>
          <w:color w:val="2F5496" w:themeColor="accent1" w:themeShade="BF"/>
          <w:sz w:val="20"/>
          <w:szCs w:val="20"/>
          <w:lang w:val="pt-PT"/>
        </w:rPr>
      </w:pPr>
      <w:r>
        <w:rPr>
          <w:i/>
          <w:color w:val="2F5496" w:themeColor="accent1" w:themeShade="BF"/>
          <w:sz w:val="20"/>
          <w:szCs w:val="20"/>
          <w:lang w:val="pt-PT"/>
        </w:rPr>
        <w:t>Esta secção deve fornecer uma visão geral dos atores locais que são relevantes para a transição para as energias limpas na Ilha. Numa fase posterior, este exercício será útil para determinar o modelo de gestão da transição energética e para organizar as consultas às partes interessadas. Um registo abrangente do trabalho de envolvimento dos atores, construído a partir de células individuais, como indicado abaixo, pode ser usado para identificar os tomadores de decisões que são importantes no processo.</w:t>
      </w:r>
    </w:p>
    <w:p w14:paraId="387D53B4" w14:textId="77777777" w:rsidR="00C0096B" w:rsidRDefault="00C0096B">
      <w:pPr>
        <w:pStyle w:val="Default"/>
        <w:rPr>
          <w:i/>
          <w:color w:val="2F5496" w:themeColor="accent1" w:themeShade="BF"/>
          <w:sz w:val="20"/>
          <w:szCs w:val="20"/>
          <w:lang w:val="pt-PT"/>
        </w:rPr>
      </w:pPr>
    </w:p>
    <w:p w14:paraId="3B00E507" w14:textId="77777777" w:rsidR="00C0096B" w:rsidRDefault="00AC7A60">
      <w:pPr>
        <w:pStyle w:val="Default"/>
        <w:rPr>
          <w:i/>
          <w:color w:val="2F5496" w:themeColor="accent1" w:themeShade="BF"/>
          <w:sz w:val="20"/>
          <w:szCs w:val="20"/>
          <w:lang w:val="pt-PT"/>
        </w:rPr>
      </w:pPr>
      <w:r>
        <w:rPr>
          <w:i/>
          <w:color w:val="2F5496" w:themeColor="accent1" w:themeShade="BF"/>
          <w:sz w:val="20"/>
          <w:szCs w:val="20"/>
          <w:lang w:val="pt-PT"/>
        </w:rPr>
        <w:t>Além do nome de contacto e da organização, pode ser descrita a perspetiva da entidade sobre a transição. Que aspeto na transição para energias limpas afeta o interessado? Que opinião tem sobre o processo de transição? Isto permite identificar os líderes na Ilha cujo envolvimento no desenho do caminho de transição da Ilha é desejado, na Parte II.</w:t>
      </w:r>
    </w:p>
    <w:p w14:paraId="2C5EFFB5" w14:textId="77777777" w:rsidR="00C0096B" w:rsidRDefault="00C0096B">
      <w:pPr>
        <w:pStyle w:val="Default"/>
        <w:rPr>
          <w:i/>
          <w:color w:val="2F5496" w:themeColor="accent1" w:themeShade="BF"/>
          <w:sz w:val="20"/>
          <w:szCs w:val="20"/>
          <w:lang w:val="pt-PT"/>
        </w:rPr>
      </w:pPr>
    </w:p>
    <w:p w14:paraId="53848524" w14:textId="77777777" w:rsidR="00C0096B" w:rsidRDefault="00AC7A60">
      <w:pPr>
        <w:pStyle w:val="Default"/>
        <w:rPr>
          <w:b/>
          <w:i/>
          <w:color w:val="2F5496" w:themeColor="accent1" w:themeShade="BF"/>
          <w:sz w:val="20"/>
          <w:szCs w:val="20"/>
          <w:lang w:val="pt-PT"/>
        </w:rPr>
      </w:pPr>
      <w:r>
        <w:rPr>
          <w:b/>
          <w:i/>
          <w:color w:val="2F5496" w:themeColor="accent1" w:themeShade="BF"/>
          <w:sz w:val="20"/>
          <w:szCs w:val="20"/>
          <w:lang w:val="pt-PT"/>
        </w:rPr>
        <w:t xml:space="preserve">Mais informações sobre o mapeamento das partes interessadas podem ser encontradas no Manual de Transição para Energia Limpa da Ilha, Capítulo 3 "Entendendo a Dinâmica da Ilha", Secção "Mapeamento das Partes Interessadas". </w:t>
      </w:r>
    </w:p>
    <w:p w14:paraId="1DF48D5F" w14:textId="77777777" w:rsidR="00C0096B" w:rsidRDefault="00C0096B">
      <w:pPr>
        <w:keepNext/>
        <w:rPr>
          <w:lang w:val="pt-PT"/>
        </w:rPr>
      </w:pPr>
    </w:p>
    <w:p w14:paraId="49E04071" w14:textId="77777777" w:rsidR="00C0096B" w:rsidRDefault="00AC7A60">
      <w:pPr>
        <w:pStyle w:val="Heading3"/>
        <w:rPr>
          <w:lang w:val="pt-PT"/>
        </w:rPr>
      </w:pPr>
      <w:bookmarkStart w:id="24" w:name="_Toc30430910"/>
      <w:bookmarkStart w:id="25" w:name="_Toc2349155"/>
      <w:r>
        <w:rPr>
          <w:lang w:val="pt-PT"/>
        </w:rPr>
        <w:t>Organizações da sociedade civil</w:t>
      </w:r>
      <w:bookmarkEnd w:id="24"/>
    </w:p>
    <w:p w14:paraId="3B14FB1B" w14:textId="77777777" w:rsidR="00C0096B" w:rsidRDefault="00AC7A60">
      <w:pPr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Para cada organização relevante, é recomendado que existam os seguintes dados: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C0096B" w14:paraId="1468C003" w14:textId="77777777">
        <w:trPr>
          <w:trHeight w:val="524"/>
        </w:trPr>
        <w:tc>
          <w:tcPr>
            <w:tcW w:w="8364" w:type="dxa"/>
            <w:vAlign w:val="center"/>
          </w:tcPr>
          <w:p w14:paraId="2EF1FC4C" w14:textId="77777777" w:rsidR="00C0096B" w:rsidRDefault="00AC7A60">
            <w:pPr>
              <w:jc w:val="left"/>
              <w:rPr>
                <w:b/>
                <w:highlight w:val="green"/>
                <w:lang w:val="pt-PT"/>
              </w:rPr>
            </w:pPr>
            <w:r>
              <w:rPr>
                <w:b/>
                <w:highlight w:val="green"/>
                <w:lang w:val="pt-PT"/>
              </w:rPr>
              <w:t>[Nome da organização]</w:t>
            </w:r>
          </w:p>
        </w:tc>
      </w:tr>
      <w:tr w:rsidR="00C0096B" w14:paraId="67D4894C" w14:textId="77777777">
        <w:trPr>
          <w:trHeight w:val="524"/>
        </w:trPr>
        <w:tc>
          <w:tcPr>
            <w:tcW w:w="8364" w:type="dxa"/>
            <w:shd w:val="clear" w:color="auto" w:fill="auto"/>
            <w:vAlign w:val="center"/>
          </w:tcPr>
          <w:p w14:paraId="119AE2BF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[Perspetiva da transição]</w:t>
            </w:r>
          </w:p>
          <w:p w14:paraId="7DF980F1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[Envolvimento na transição]</w:t>
            </w:r>
          </w:p>
        </w:tc>
      </w:tr>
      <w:tr w:rsidR="00C0096B" w:rsidRPr="00E87DCB" w14:paraId="3329BA00" w14:textId="77777777">
        <w:trPr>
          <w:trHeight w:val="524"/>
        </w:trPr>
        <w:tc>
          <w:tcPr>
            <w:tcW w:w="8364" w:type="dxa"/>
            <w:vAlign w:val="center"/>
          </w:tcPr>
          <w:p w14:paraId="5FA40A3D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[Se aplicável, pessoa de contacto na organização]</w:t>
            </w:r>
          </w:p>
        </w:tc>
      </w:tr>
    </w:tbl>
    <w:p w14:paraId="62D164CB" w14:textId="77777777" w:rsidR="00C0096B" w:rsidRDefault="00C0096B">
      <w:pPr>
        <w:pStyle w:val="3ETxt"/>
        <w:rPr>
          <w:lang w:val="pt-PT"/>
        </w:rPr>
      </w:pPr>
    </w:p>
    <w:p w14:paraId="1614B4F0" w14:textId="77777777" w:rsidR="00C0096B" w:rsidRDefault="00AC7A60">
      <w:pPr>
        <w:pStyle w:val="Heading3"/>
        <w:rPr>
          <w:lang w:val="pt-PT"/>
        </w:rPr>
      </w:pPr>
      <w:bookmarkStart w:id="26" w:name="_Toc30430911"/>
      <w:r>
        <w:rPr>
          <w:lang w:val="pt-PT"/>
        </w:rPr>
        <w:t>Empresas</w:t>
      </w:r>
      <w:bookmarkEnd w:id="25"/>
      <w:bookmarkEnd w:id="26"/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C0096B" w14:paraId="20B3DBBE" w14:textId="77777777">
        <w:trPr>
          <w:trHeight w:val="524"/>
        </w:trPr>
        <w:tc>
          <w:tcPr>
            <w:tcW w:w="8364" w:type="dxa"/>
            <w:vAlign w:val="center"/>
          </w:tcPr>
          <w:p w14:paraId="336E11F6" w14:textId="77777777" w:rsidR="00C0096B" w:rsidRDefault="00AC7A60">
            <w:pPr>
              <w:jc w:val="left"/>
              <w:rPr>
                <w:b/>
                <w:highlight w:val="green"/>
                <w:lang w:val="pt-PT"/>
              </w:rPr>
            </w:pPr>
            <w:r>
              <w:rPr>
                <w:b/>
                <w:highlight w:val="green"/>
                <w:lang w:val="pt-PT"/>
              </w:rPr>
              <w:t>[Nome da organização]</w:t>
            </w:r>
          </w:p>
        </w:tc>
      </w:tr>
      <w:tr w:rsidR="00C0096B" w14:paraId="22F9B1BA" w14:textId="77777777">
        <w:trPr>
          <w:trHeight w:val="524"/>
        </w:trPr>
        <w:tc>
          <w:tcPr>
            <w:tcW w:w="8364" w:type="dxa"/>
            <w:shd w:val="clear" w:color="auto" w:fill="auto"/>
            <w:vAlign w:val="center"/>
          </w:tcPr>
          <w:p w14:paraId="2F01C58A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[Perspetiva da transição]</w:t>
            </w:r>
          </w:p>
          <w:p w14:paraId="72041DD7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[Envolvimento na transição]</w:t>
            </w:r>
          </w:p>
        </w:tc>
      </w:tr>
      <w:tr w:rsidR="00C0096B" w:rsidRPr="00E87DCB" w14:paraId="5B627D83" w14:textId="77777777">
        <w:trPr>
          <w:trHeight w:val="524"/>
        </w:trPr>
        <w:tc>
          <w:tcPr>
            <w:tcW w:w="8364" w:type="dxa"/>
            <w:vAlign w:val="center"/>
          </w:tcPr>
          <w:p w14:paraId="6023E058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[Se aplicável, pessoa de contacto na organização]</w:t>
            </w:r>
          </w:p>
        </w:tc>
      </w:tr>
    </w:tbl>
    <w:p w14:paraId="6C75F9DB" w14:textId="77777777" w:rsidR="00C0096B" w:rsidRDefault="00C0096B">
      <w:pPr>
        <w:rPr>
          <w:lang w:val="pt-PT"/>
        </w:rPr>
      </w:pPr>
    </w:p>
    <w:p w14:paraId="04FF3CA6" w14:textId="77777777" w:rsidR="00C0096B" w:rsidRDefault="00AC7A60">
      <w:pPr>
        <w:pStyle w:val="Heading3"/>
        <w:rPr>
          <w:lang w:val="pt-PT"/>
        </w:rPr>
      </w:pPr>
      <w:bookmarkStart w:id="27" w:name="_Toc2349156"/>
      <w:bookmarkStart w:id="28" w:name="_Toc30430912"/>
      <w:r>
        <w:rPr>
          <w:lang w:val="pt-PT"/>
        </w:rPr>
        <w:t>Setor Público</w:t>
      </w:r>
      <w:bookmarkEnd w:id="27"/>
      <w:bookmarkEnd w:id="28"/>
    </w:p>
    <w:p w14:paraId="4EC669F8" w14:textId="77777777" w:rsidR="00C0096B" w:rsidRDefault="00AC7A60">
      <w:pPr>
        <w:pStyle w:val="Header3"/>
        <w:rPr>
          <w:lang w:val="pt-PT"/>
        </w:rPr>
      </w:pPr>
      <w:r>
        <w:rPr>
          <w:lang w:val="pt-PT"/>
        </w:rPr>
        <w:t>Atores Governamentais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C0096B" w14:paraId="17ECAA0A" w14:textId="77777777">
        <w:trPr>
          <w:trHeight w:val="524"/>
        </w:trPr>
        <w:tc>
          <w:tcPr>
            <w:tcW w:w="8364" w:type="dxa"/>
            <w:vAlign w:val="center"/>
          </w:tcPr>
          <w:p w14:paraId="2CDC3BBE" w14:textId="77777777" w:rsidR="00C0096B" w:rsidRDefault="00AC7A60">
            <w:pPr>
              <w:jc w:val="left"/>
              <w:rPr>
                <w:b/>
                <w:lang w:val="pt-PT"/>
              </w:rPr>
            </w:pPr>
            <w:r>
              <w:rPr>
                <w:b/>
                <w:highlight w:val="green"/>
                <w:lang w:val="pt-PT"/>
              </w:rPr>
              <w:t>[Nome da organização]</w:t>
            </w:r>
          </w:p>
        </w:tc>
      </w:tr>
      <w:tr w:rsidR="00C0096B" w14:paraId="519D0C83" w14:textId="77777777">
        <w:trPr>
          <w:trHeight w:val="524"/>
        </w:trPr>
        <w:tc>
          <w:tcPr>
            <w:tcW w:w="8364" w:type="dxa"/>
            <w:vAlign w:val="center"/>
          </w:tcPr>
          <w:p w14:paraId="6D43F615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[Perspetiva da transição]</w:t>
            </w:r>
          </w:p>
          <w:p w14:paraId="63446329" w14:textId="77777777" w:rsidR="00C0096B" w:rsidRDefault="00AC7A60">
            <w:pPr>
              <w:ind w:left="-92" w:firstLine="92"/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[Envolvimento na transição]</w:t>
            </w:r>
          </w:p>
        </w:tc>
      </w:tr>
      <w:tr w:rsidR="00C0096B" w:rsidRPr="00E87DCB" w14:paraId="425F083F" w14:textId="77777777">
        <w:trPr>
          <w:trHeight w:val="524"/>
        </w:trPr>
        <w:tc>
          <w:tcPr>
            <w:tcW w:w="8364" w:type="dxa"/>
            <w:vAlign w:val="center"/>
          </w:tcPr>
          <w:p w14:paraId="10F5D7A8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[Se aplicável, pessoa de contacto na organização]</w:t>
            </w:r>
          </w:p>
        </w:tc>
      </w:tr>
    </w:tbl>
    <w:p w14:paraId="52CC25EA" w14:textId="77777777" w:rsidR="00C0096B" w:rsidRDefault="00C0096B">
      <w:pPr>
        <w:rPr>
          <w:lang w:val="pt-PT"/>
        </w:rPr>
      </w:pPr>
    </w:p>
    <w:p w14:paraId="7CD7515A" w14:textId="77777777" w:rsidR="00C0096B" w:rsidRDefault="00AC7A60">
      <w:pPr>
        <w:pStyle w:val="Header3"/>
        <w:rPr>
          <w:lang w:val="pt-PT"/>
        </w:rPr>
      </w:pPr>
      <w:r>
        <w:rPr>
          <w:lang w:val="pt-PT"/>
        </w:rPr>
        <w:lastRenderedPageBreak/>
        <w:t>Atividades Económicas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C0096B" w14:paraId="4F1FF6B6" w14:textId="77777777">
        <w:trPr>
          <w:trHeight w:val="524"/>
        </w:trPr>
        <w:tc>
          <w:tcPr>
            <w:tcW w:w="8364" w:type="dxa"/>
            <w:vAlign w:val="center"/>
          </w:tcPr>
          <w:p w14:paraId="6B58F79B" w14:textId="77777777" w:rsidR="00C0096B" w:rsidRDefault="00AC7A60">
            <w:pPr>
              <w:jc w:val="left"/>
              <w:rPr>
                <w:b/>
                <w:lang w:val="pt-PT"/>
              </w:rPr>
            </w:pPr>
            <w:r>
              <w:rPr>
                <w:b/>
                <w:highlight w:val="green"/>
                <w:lang w:val="pt-PT"/>
              </w:rPr>
              <w:t>[Nome da organização]</w:t>
            </w:r>
          </w:p>
        </w:tc>
      </w:tr>
      <w:tr w:rsidR="00C0096B" w14:paraId="7B9FCC4A" w14:textId="77777777">
        <w:trPr>
          <w:trHeight w:val="524"/>
        </w:trPr>
        <w:tc>
          <w:tcPr>
            <w:tcW w:w="8364" w:type="dxa"/>
            <w:vAlign w:val="center"/>
          </w:tcPr>
          <w:p w14:paraId="18487245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[Perspetiva da transição]</w:t>
            </w:r>
          </w:p>
          <w:p w14:paraId="2E5485DA" w14:textId="77777777" w:rsidR="00C0096B" w:rsidRDefault="00AC7A60">
            <w:pPr>
              <w:ind w:left="-92" w:firstLine="92"/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[Envolvimento na transição]</w:t>
            </w:r>
          </w:p>
        </w:tc>
      </w:tr>
      <w:tr w:rsidR="00C0096B" w:rsidRPr="00E87DCB" w14:paraId="454D7927" w14:textId="77777777">
        <w:trPr>
          <w:trHeight w:val="524"/>
        </w:trPr>
        <w:tc>
          <w:tcPr>
            <w:tcW w:w="8364" w:type="dxa"/>
            <w:vAlign w:val="center"/>
          </w:tcPr>
          <w:p w14:paraId="3C6D39C1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[Se aplicável, pessoa de contacto na organização]</w:t>
            </w:r>
          </w:p>
        </w:tc>
      </w:tr>
    </w:tbl>
    <w:p w14:paraId="482DB76B" w14:textId="77777777" w:rsidR="00C0096B" w:rsidRDefault="00C0096B">
      <w:pPr>
        <w:rPr>
          <w:lang w:val="pt-PT"/>
        </w:rPr>
      </w:pPr>
    </w:p>
    <w:p w14:paraId="1CE24D14" w14:textId="77777777" w:rsidR="00C0096B" w:rsidRDefault="00AC7A60">
      <w:pPr>
        <w:pStyle w:val="Heading3"/>
        <w:rPr>
          <w:lang w:val="pt-PT"/>
        </w:rPr>
      </w:pPr>
      <w:bookmarkStart w:id="29" w:name="_Toc2349157"/>
      <w:bookmarkStart w:id="30" w:name="_Toc30430913"/>
      <w:r>
        <w:rPr>
          <w:lang w:val="pt-PT"/>
        </w:rPr>
        <w:t>Escolas e Academia</w:t>
      </w:r>
      <w:bookmarkEnd w:id="29"/>
      <w:bookmarkEnd w:id="30"/>
      <w:r>
        <w:rPr>
          <w:lang w:val="pt-PT"/>
        </w:rPr>
        <w:t>s</w:t>
      </w:r>
    </w:p>
    <w:p w14:paraId="30B3BD80" w14:textId="77777777" w:rsidR="00C0096B" w:rsidRDefault="00AC7A60">
      <w:pPr>
        <w:pStyle w:val="Header3"/>
        <w:rPr>
          <w:lang w:val="pt-PT"/>
        </w:rPr>
      </w:pPr>
      <w:r>
        <w:rPr>
          <w:lang w:val="pt-PT"/>
        </w:rPr>
        <w:t>Ensino Superior e Investigação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C0096B" w14:paraId="28A3B324" w14:textId="77777777">
        <w:trPr>
          <w:trHeight w:val="524"/>
        </w:trPr>
        <w:tc>
          <w:tcPr>
            <w:tcW w:w="8364" w:type="dxa"/>
            <w:vAlign w:val="center"/>
          </w:tcPr>
          <w:p w14:paraId="7A79AB0B" w14:textId="77777777" w:rsidR="00C0096B" w:rsidRDefault="00AC7A60">
            <w:pPr>
              <w:jc w:val="left"/>
              <w:rPr>
                <w:b/>
                <w:lang w:val="pt-PT"/>
              </w:rPr>
            </w:pPr>
            <w:r>
              <w:rPr>
                <w:b/>
                <w:highlight w:val="green"/>
                <w:lang w:val="pt-PT"/>
              </w:rPr>
              <w:t>[Nome da organização]</w:t>
            </w:r>
          </w:p>
        </w:tc>
      </w:tr>
      <w:tr w:rsidR="00C0096B" w14:paraId="422E4083" w14:textId="77777777">
        <w:trPr>
          <w:trHeight w:val="524"/>
        </w:trPr>
        <w:tc>
          <w:tcPr>
            <w:tcW w:w="8364" w:type="dxa"/>
            <w:vAlign w:val="center"/>
          </w:tcPr>
          <w:p w14:paraId="2B1C4685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[Perspetiva da transição]</w:t>
            </w:r>
          </w:p>
          <w:p w14:paraId="76CA1901" w14:textId="77777777" w:rsidR="00C0096B" w:rsidRDefault="00AC7A60">
            <w:pPr>
              <w:ind w:left="-92" w:firstLine="92"/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[Envolvimento na transição]</w:t>
            </w:r>
          </w:p>
        </w:tc>
      </w:tr>
      <w:tr w:rsidR="00C0096B" w:rsidRPr="00E87DCB" w14:paraId="22748B61" w14:textId="77777777">
        <w:trPr>
          <w:trHeight w:val="524"/>
        </w:trPr>
        <w:tc>
          <w:tcPr>
            <w:tcW w:w="8364" w:type="dxa"/>
            <w:vAlign w:val="center"/>
          </w:tcPr>
          <w:p w14:paraId="036DB2E4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[Se aplicável, pessoa de contacto na organização]</w:t>
            </w:r>
          </w:p>
        </w:tc>
      </w:tr>
    </w:tbl>
    <w:p w14:paraId="6C13C4B4" w14:textId="77777777" w:rsidR="00C0096B" w:rsidRDefault="00C0096B">
      <w:pPr>
        <w:rPr>
          <w:lang w:val="pt-PT"/>
        </w:rPr>
      </w:pPr>
    </w:p>
    <w:p w14:paraId="4D6E1DA2" w14:textId="77777777" w:rsidR="00C0096B" w:rsidRDefault="00AC7A60">
      <w:pPr>
        <w:pStyle w:val="Header3"/>
        <w:rPr>
          <w:lang w:val="pt-PT"/>
        </w:rPr>
      </w:pPr>
      <w:r>
        <w:rPr>
          <w:lang w:val="pt-PT"/>
        </w:rPr>
        <w:t>Ensino Secundário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C0096B" w14:paraId="34D73640" w14:textId="77777777">
        <w:trPr>
          <w:trHeight w:val="524"/>
        </w:trPr>
        <w:tc>
          <w:tcPr>
            <w:tcW w:w="8364" w:type="dxa"/>
            <w:vAlign w:val="center"/>
          </w:tcPr>
          <w:p w14:paraId="1473AD97" w14:textId="77777777" w:rsidR="00C0096B" w:rsidRDefault="00AC7A60">
            <w:pPr>
              <w:jc w:val="left"/>
              <w:rPr>
                <w:b/>
                <w:lang w:val="pt-PT"/>
              </w:rPr>
            </w:pPr>
            <w:r>
              <w:rPr>
                <w:b/>
                <w:highlight w:val="green"/>
                <w:lang w:val="pt-PT"/>
              </w:rPr>
              <w:t>[Nome da organização]</w:t>
            </w:r>
          </w:p>
        </w:tc>
      </w:tr>
      <w:tr w:rsidR="00C0096B" w14:paraId="5B53CE63" w14:textId="77777777">
        <w:trPr>
          <w:trHeight w:val="524"/>
        </w:trPr>
        <w:tc>
          <w:tcPr>
            <w:tcW w:w="8364" w:type="dxa"/>
            <w:vAlign w:val="center"/>
          </w:tcPr>
          <w:p w14:paraId="3F48F829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[Perspetiva da transição]</w:t>
            </w:r>
          </w:p>
          <w:p w14:paraId="6D651E99" w14:textId="77777777" w:rsidR="00C0096B" w:rsidRDefault="00AC7A60">
            <w:pPr>
              <w:ind w:left="-92" w:firstLine="92"/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[Envolvimento na transição]</w:t>
            </w:r>
          </w:p>
        </w:tc>
      </w:tr>
      <w:tr w:rsidR="00C0096B" w:rsidRPr="00E87DCB" w14:paraId="5A2D526F" w14:textId="77777777">
        <w:trPr>
          <w:trHeight w:val="524"/>
        </w:trPr>
        <w:tc>
          <w:tcPr>
            <w:tcW w:w="8364" w:type="dxa"/>
            <w:vAlign w:val="center"/>
          </w:tcPr>
          <w:p w14:paraId="3921A114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[Se aplicável, pessoa de contacto na organização]</w:t>
            </w:r>
          </w:p>
        </w:tc>
      </w:tr>
    </w:tbl>
    <w:p w14:paraId="17C041D2" w14:textId="77777777" w:rsidR="00C0096B" w:rsidRDefault="00C0096B">
      <w:pPr>
        <w:rPr>
          <w:lang w:val="pt-PT"/>
        </w:rPr>
      </w:pPr>
    </w:p>
    <w:p w14:paraId="45A9D26E" w14:textId="77777777" w:rsidR="00C0096B" w:rsidRDefault="00AC7A60">
      <w:pPr>
        <w:pStyle w:val="Header3"/>
        <w:rPr>
          <w:lang w:val="pt-PT"/>
        </w:rPr>
      </w:pPr>
      <w:r>
        <w:rPr>
          <w:lang w:val="pt-PT"/>
        </w:rPr>
        <w:t>Ensino Primário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C0096B" w14:paraId="11133EAA" w14:textId="77777777">
        <w:trPr>
          <w:trHeight w:val="524"/>
        </w:trPr>
        <w:tc>
          <w:tcPr>
            <w:tcW w:w="8364" w:type="dxa"/>
            <w:vAlign w:val="center"/>
          </w:tcPr>
          <w:p w14:paraId="1EFAA832" w14:textId="77777777" w:rsidR="00C0096B" w:rsidRDefault="00AC7A60">
            <w:pPr>
              <w:jc w:val="left"/>
              <w:rPr>
                <w:b/>
                <w:lang w:val="pt-PT"/>
              </w:rPr>
            </w:pPr>
            <w:r>
              <w:rPr>
                <w:b/>
                <w:highlight w:val="green"/>
                <w:lang w:val="pt-PT"/>
              </w:rPr>
              <w:t>[Nome da organização]</w:t>
            </w:r>
          </w:p>
        </w:tc>
      </w:tr>
      <w:tr w:rsidR="00C0096B" w14:paraId="3FBA7964" w14:textId="77777777">
        <w:trPr>
          <w:trHeight w:val="524"/>
        </w:trPr>
        <w:tc>
          <w:tcPr>
            <w:tcW w:w="8364" w:type="dxa"/>
            <w:vAlign w:val="center"/>
          </w:tcPr>
          <w:p w14:paraId="2A57B196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[Perspetiva da transição]</w:t>
            </w:r>
          </w:p>
          <w:p w14:paraId="01449951" w14:textId="77777777" w:rsidR="00C0096B" w:rsidRDefault="00AC7A60">
            <w:pPr>
              <w:ind w:left="-92" w:firstLine="92"/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[Envolvimento na transição]</w:t>
            </w:r>
          </w:p>
        </w:tc>
      </w:tr>
      <w:tr w:rsidR="00C0096B" w:rsidRPr="00E87DCB" w14:paraId="0EB85008" w14:textId="77777777">
        <w:trPr>
          <w:trHeight w:val="524"/>
        </w:trPr>
        <w:tc>
          <w:tcPr>
            <w:tcW w:w="8364" w:type="dxa"/>
            <w:vAlign w:val="center"/>
          </w:tcPr>
          <w:p w14:paraId="6FCFB74F" w14:textId="77777777" w:rsidR="00C0096B" w:rsidRDefault="00AC7A60">
            <w:pPr>
              <w:jc w:val="left"/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[Se aplicável, pessoa de contacto na organização]</w:t>
            </w:r>
          </w:p>
        </w:tc>
      </w:tr>
    </w:tbl>
    <w:p w14:paraId="4FE2FFF9" w14:textId="77777777" w:rsidR="00C0096B" w:rsidRDefault="00C0096B">
      <w:pPr>
        <w:rPr>
          <w:lang w:val="pt-PT"/>
        </w:rPr>
      </w:pPr>
    </w:p>
    <w:p w14:paraId="5282CEB8" w14:textId="77777777" w:rsidR="00C0096B" w:rsidRDefault="00AC7A60">
      <w:pPr>
        <w:rPr>
          <w:lang w:val="pt-PT"/>
        </w:rPr>
      </w:pPr>
      <w:r>
        <w:rPr>
          <w:lang w:val="pt-PT"/>
        </w:rPr>
        <w:br w:type="page"/>
      </w:r>
    </w:p>
    <w:p w14:paraId="7F414BD2" w14:textId="77777777" w:rsidR="00C0096B" w:rsidRDefault="00AC7A60">
      <w:pPr>
        <w:pStyle w:val="Heading2"/>
        <w:rPr>
          <w:lang w:val="pt-PT"/>
        </w:rPr>
      </w:pPr>
      <w:bookmarkStart w:id="31" w:name="_Toc30430914"/>
      <w:bookmarkStart w:id="32" w:name="_Toc2349158"/>
      <w:r>
        <w:rPr>
          <w:lang w:val="pt-PT"/>
        </w:rPr>
        <w:lastRenderedPageBreak/>
        <w:t>Política e Regulamentação</w:t>
      </w:r>
      <w:bookmarkEnd w:id="31"/>
      <w:bookmarkEnd w:id="32"/>
    </w:p>
    <w:p w14:paraId="0706B579" w14:textId="77777777" w:rsidR="00C0096B" w:rsidRDefault="00AC7A60">
      <w:pPr>
        <w:spacing w:line="240" w:lineRule="auto"/>
        <w:jc w:val="left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 xml:space="preserve">O processo de transição insular encontra-se inserido na política e regulamentos mais abrangentes. A compreensão das políticas locais, regionais, nacionais e europeias que regem a energia e a mobilidade permite identificar as metas políticas de cima para baixo que impulsionam a transição. </w:t>
      </w:r>
    </w:p>
    <w:p w14:paraId="276C91F0" w14:textId="77777777" w:rsidR="00C0096B" w:rsidRDefault="00AC7A60">
      <w:pPr>
        <w:spacing w:line="240" w:lineRule="auto"/>
        <w:jc w:val="left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Os aspetos políticos e regulamentares a serem pesquisados podem incluir:</w:t>
      </w:r>
    </w:p>
    <w:p w14:paraId="0B2779C2" w14:textId="77777777" w:rsidR="00C0096B" w:rsidRDefault="00AC7A60">
      <w:pPr>
        <w:pStyle w:val="ListParagraph"/>
        <w:numPr>
          <w:ilvl w:val="0"/>
          <w:numId w:val="11"/>
        </w:numPr>
        <w:jc w:val="left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metas vinculativas de energias renováveis e/ou de eficiência energética,</w:t>
      </w:r>
    </w:p>
    <w:p w14:paraId="0476CB97" w14:textId="77777777" w:rsidR="00C0096B" w:rsidRDefault="00AC7A60">
      <w:pPr>
        <w:pStyle w:val="ListParagraph"/>
        <w:numPr>
          <w:ilvl w:val="0"/>
          <w:numId w:val="11"/>
        </w:numPr>
        <w:jc w:val="left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o compromisso dos municípios da Ilha no âmbito do Pacto de Autarcas,</w:t>
      </w:r>
    </w:p>
    <w:p w14:paraId="5C6D179A" w14:textId="77777777" w:rsidR="00C0096B" w:rsidRDefault="00AC7A60">
      <w:pPr>
        <w:pStyle w:val="ListParagraph"/>
        <w:numPr>
          <w:ilvl w:val="0"/>
          <w:numId w:val="11"/>
        </w:numPr>
        <w:jc w:val="left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outra regulamentação relevante, como por exemplo, relacionada com a regulação dos gases de combustão, que pode ter um efeito significativo na transição energética da ilha.</w:t>
      </w:r>
    </w:p>
    <w:p w14:paraId="602F4E2D" w14:textId="77777777" w:rsidR="00C0096B" w:rsidRDefault="00AC7A60">
      <w:pPr>
        <w:pStyle w:val="Heading3"/>
        <w:rPr>
          <w:lang w:val="pt-PT"/>
        </w:rPr>
      </w:pPr>
      <w:bookmarkStart w:id="33" w:name="_Toc30430915"/>
      <w:r>
        <w:rPr>
          <w:lang w:val="pt-PT"/>
        </w:rPr>
        <w:t>Política e regulamentação locais</w:t>
      </w:r>
      <w:bookmarkEnd w:id="33"/>
    </w:p>
    <w:p w14:paraId="11D70F62" w14:textId="77777777" w:rsidR="00C0096B" w:rsidRDefault="00AC7A60">
      <w:pPr>
        <w:spacing w:line="240" w:lineRule="auto"/>
        <w:jc w:val="left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A ser preenchido com quaisquer políticas ou planos relevantes a nível local relacionados com a energia ou a mobilidade.</w:t>
      </w:r>
    </w:p>
    <w:p w14:paraId="0275DFD2" w14:textId="77777777" w:rsidR="00C0096B" w:rsidRDefault="00AC7A60">
      <w:pPr>
        <w:pStyle w:val="Heading3"/>
        <w:rPr>
          <w:lang w:val="pt-PT"/>
        </w:rPr>
      </w:pPr>
      <w:bookmarkStart w:id="34" w:name="_Toc30430916"/>
      <w:r>
        <w:rPr>
          <w:lang w:val="pt-PT"/>
        </w:rPr>
        <w:t>Política e regulamentação regional</w:t>
      </w:r>
      <w:bookmarkEnd w:id="34"/>
    </w:p>
    <w:p w14:paraId="7F183E1F" w14:textId="77777777" w:rsidR="00C0096B" w:rsidRDefault="00AC7A60">
      <w:pPr>
        <w:spacing w:line="240" w:lineRule="auto"/>
        <w:jc w:val="left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A ser preenchido com quaisquer políticas ou planos relevantes a nível regional relacionados com a energia ou a mobilidade.</w:t>
      </w:r>
    </w:p>
    <w:p w14:paraId="60142C5D" w14:textId="77777777" w:rsidR="00C0096B" w:rsidRDefault="00AC7A60">
      <w:pPr>
        <w:pStyle w:val="Heading3"/>
        <w:rPr>
          <w:lang w:val="pt-PT"/>
        </w:rPr>
      </w:pPr>
      <w:bookmarkStart w:id="35" w:name="_Toc30430917"/>
      <w:r>
        <w:rPr>
          <w:lang w:val="pt-PT"/>
        </w:rPr>
        <w:t>Política e regulamentação nacionais</w:t>
      </w:r>
      <w:bookmarkEnd w:id="35"/>
      <w:r>
        <w:rPr>
          <w:lang w:val="pt-PT"/>
        </w:rPr>
        <w:t xml:space="preserve"> </w:t>
      </w:r>
    </w:p>
    <w:p w14:paraId="00F6DB5C" w14:textId="77777777" w:rsidR="00C0096B" w:rsidRDefault="00AC7A60">
      <w:pPr>
        <w:spacing w:line="240" w:lineRule="auto"/>
        <w:jc w:val="left"/>
        <w:rPr>
          <w:i/>
          <w:color w:val="2F5496" w:themeColor="accent1" w:themeShade="BF"/>
          <w:szCs w:val="20"/>
          <w:lang w:val="pt-PT"/>
        </w:rPr>
      </w:pPr>
      <w:r>
        <w:rPr>
          <w:i/>
          <w:color w:val="2F5496" w:themeColor="accent1" w:themeShade="BF"/>
          <w:szCs w:val="20"/>
          <w:lang w:val="pt-PT"/>
        </w:rPr>
        <w:t>A ser preenchido com quaisquer políticas ou planos relevantes a nível nacional relacionados com a energia ou a mobilidade.</w:t>
      </w:r>
    </w:p>
    <w:p w14:paraId="1949F74C" w14:textId="77777777" w:rsidR="00C0096B" w:rsidRDefault="00AC7A60">
      <w:pPr>
        <w:pStyle w:val="Heading3"/>
        <w:rPr>
          <w:lang w:val="pt-PT"/>
        </w:rPr>
      </w:pPr>
      <w:bookmarkStart w:id="36" w:name="_Toc30430918"/>
      <w:r>
        <w:rPr>
          <w:lang w:val="pt-PT"/>
        </w:rPr>
        <w:t>Política e regulamentação europeias</w:t>
      </w:r>
      <w:bookmarkEnd w:id="36"/>
      <w:r>
        <w:rPr>
          <w:lang w:val="pt-PT"/>
        </w:rPr>
        <w:t xml:space="preserve"> </w:t>
      </w:r>
    </w:p>
    <w:p w14:paraId="45A0CBCB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Um resumo das políticas europeias relevantes que afetam o sector da energia pode ser encontrado online em: </w:t>
      </w:r>
      <w:r w:rsidR="001D226C">
        <w:fldChar w:fldCharType="begin"/>
      </w:r>
      <w:r w:rsidR="001D226C" w:rsidRPr="00E87DCB">
        <w:rPr>
          <w:lang w:val="pt-PT"/>
        </w:rPr>
        <w:instrText xml:space="preserve"> HYPERLINK "https://euislands.eu/library" </w:instrText>
      </w:r>
      <w:r w:rsidR="001D226C">
        <w:fldChar w:fldCharType="separate"/>
      </w:r>
      <w:r>
        <w:rPr>
          <w:rStyle w:val="Hyperlink"/>
          <w:i/>
          <w:color w:val="034990" w:themeColor="hyperlink" w:themeShade="BF"/>
          <w:lang w:val="pt-PT"/>
        </w:rPr>
        <w:t>https://euislands.eu/library</w:t>
      </w:r>
      <w:r w:rsidR="001D226C">
        <w:rPr>
          <w:rStyle w:val="Hyperlink"/>
          <w:i/>
          <w:color w:val="034990" w:themeColor="hyperlink" w:themeShade="BF"/>
          <w:lang w:val="pt-PT"/>
        </w:rPr>
        <w:fldChar w:fldCharType="end"/>
      </w:r>
    </w:p>
    <w:p w14:paraId="44B6FE07" w14:textId="77777777" w:rsidR="00C0096B" w:rsidRDefault="00C0096B">
      <w:pPr>
        <w:spacing w:line="240" w:lineRule="auto"/>
        <w:rPr>
          <w:i/>
          <w:color w:val="2F5496" w:themeColor="accent1" w:themeShade="BF"/>
          <w:lang w:val="pt-PT"/>
        </w:rPr>
      </w:pPr>
    </w:p>
    <w:p w14:paraId="3B3C3B71" w14:textId="77777777" w:rsidR="00C0096B" w:rsidRDefault="00AC7A60">
      <w:pPr>
        <w:spacing w:line="240" w:lineRule="auto"/>
        <w:rPr>
          <w:b/>
          <w:i/>
          <w:color w:val="2F5496" w:themeColor="accent1" w:themeShade="BF"/>
          <w:szCs w:val="20"/>
          <w:lang w:val="pt-PT"/>
        </w:rPr>
      </w:pPr>
      <w:r>
        <w:rPr>
          <w:b/>
          <w:i/>
          <w:color w:val="2F5496" w:themeColor="accent1" w:themeShade="BF"/>
          <w:szCs w:val="20"/>
          <w:lang w:val="pt-PT"/>
        </w:rPr>
        <w:t>Mais informações sobre como trabalhar e preencher esta secção de Políticas e Regulamentos podem ser encontradas no Manual de Transição para Energia Limpa da Ilha, Capítulo 3 "Entendendo a Dinâmica da Ilha", Secção: "Políticas e Regulamentos".</w:t>
      </w:r>
      <w:r>
        <w:rPr>
          <w:b/>
          <w:lang w:val="pt-PT"/>
        </w:rPr>
        <w:br w:type="page"/>
      </w:r>
    </w:p>
    <w:p w14:paraId="10C14348" w14:textId="77777777" w:rsidR="00C0096B" w:rsidRDefault="00AC7A60">
      <w:pPr>
        <w:pStyle w:val="Heading1"/>
        <w:rPr>
          <w:lang w:val="pt-PT"/>
        </w:rPr>
      </w:pPr>
      <w:bookmarkStart w:id="37" w:name="_Toc30430919"/>
      <w:r>
        <w:rPr>
          <w:lang w:val="pt-PT"/>
        </w:rPr>
        <w:lastRenderedPageBreak/>
        <w:t>Parte II: Caminho da Transição da Ilha</w:t>
      </w:r>
      <w:bookmarkEnd w:id="37"/>
    </w:p>
    <w:p w14:paraId="613EE3D7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O gráfico seguinte visa orientar os autores no desenvolvimento da segunda parte da Agenda de Transição. As Secções da Parte II, tal como o conteúdo de cada uma delas, estão relacionadas com o resto que se encontra ilustrado. A figura abaixo é adicionada para orientação no modelo e deve ser removida na versão final da Agenda de Transição para Energia Limpa da Ilha. </w:t>
      </w:r>
    </w:p>
    <w:p w14:paraId="44B7A245" w14:textId="77777777" w:rsidR="00C0096B" w:rsidRDefault="00C0096B">
      <w:pPr>
        <w:rPr>
          <w:lang w:val="pt-PT"/>
        </w:rPr>
      </w:pPr>
    </w:p>
    <w:p w14:paraId="53D911DF" w14:textId="401374A7" w:rsidR="00C0096B" w:rsidRDefault="00E87DCB">
      <w:pPr>
        <w:jc w:val="center"/>
        <w:rPr>
          <w:lang w:val="pt-PT"/>
        </w:rPr>
      </w:pPr>
      <w:bookmarkStart w:id="38" w:name="_GoBack"/>
      <w:r>
        <w:rPr>
          <w:noProof/>
          <w:lang w:val="pt-PT"/>
        </w:rPr>
        <w:drawing>
          <wp:inline distT="0" distB="0" distL="0" distR="0" wp14:anchorId="49B0CAFC" wp14:editId="19D5F48D">
            <wp:extent cx="5730240" cy="52730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</w:p>
    <w:p w14:paraId="498F8BED" w14:textId="77777777" w:rsidR="00C0096B" w:rsidRDefault="00AC7A6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22F7DCDD" w14:textId="77777777" w:rsidR="00C0096B" w:rsidRDefault="00C0096B">
      <w:pPr>
        <w:rPr>
          <w:lang w:val="pt-PT"/>
        </w:rPr>
      </w:pPr>
    </w:p>
    <w:p w14:paraId="19E0D4FE" w14:textId="77777777" w:rsidR="00C0096B" w:rsidRDefault="00AC7A60">
      <w:pPr>
        <w:pStyle w:val="Heading2"/>
        <w:numPr>
          <w:ilvl w:val="0"/>
          <w:numId w:val="12"/>
        </w:numPr>
        <w:rPr>
          <w:lang w:val="pt-PT"/>
        </w:rPr>
      </w:pPr>
      <w:bookmarkStart w:id="39" w:name="_Toc2349161"/>
      <w:bookmarkStart w:id="40" w:name="_Toc30430920"/>
      <w:bookmarkStart w:id="41" w:name="_Toc2349160"/>
      <w:r>
        <w:rPr>
          <w:lang w:val="pt-PT"/>
        </w:rPr>
        <w:t>Visão</w:t>
      </w:r>
      <w:bookmarkEnd w:id="39"/>
      <w:bookmarkEnd w:id="40"/>
    </w:p>
    <w:p w14:paraId="6157CB6B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A Visão sobre Energia Limpa visa estabelecer uma meta partilhada para o processo de transição. Esta visão pode ser expressa como uma </w:t>
      </w:r>
      <w:r>
        <w:rPr>
          <w:b/>
          <w:i/>
          <w:color w:val="2F5496" w:themeColor="accent1" w:themeShade="BF"/>
          <w:lang w:val="pt-PT"/>
        </w:rPr>
        <w:t>frase ou parágrafo</w:t>
      </w:r>
      <w:r>
        <w:rPr>
          <w:i/>
          <w:color w:val="2F5496" w:themeColor="accent1" w:themeShade="BF"/>
          <w:lang w:val="pt-PT"/>
        </w:rPr>
        <w:t xml:space="preserve"> que descreve como as partes interessadas da Ilha vêm a transição energética no futuro. Esta declaração fornece uma visão das futuras atividades da transição. </w:t>
      </w:r>
    </w:p>
    <w:p w14:paraId="0023BC17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Uma visão pode ser desenvolvida num </w:t>
      </w:r>
      <w:r>
        <w:rPr>
          <w:b/>
          <w:i/>
          <w:color w:val="2F5496" w:themeColor="accent1" w:themeShade="BF"/>
          <w:lang w:val="pt-PT"/>
        </w:rPr>
        <w:t>workshop de visão</w:t>
      </w:r>
      <w:r>
        <w:rPr>
          <w:i/>
          <w:color w:val="2F5496" w:themeColor="accent1" w:themeShade="BF"/>
          <w:lang w:val="pt-PT"/>
        </w:rPr>
        <w:t xml:space="preserve"> no qual todos os participantes relevantes da ilha participem.  O workshop pode começar por visionar a ilha no futuro e responder às seguintes perguntas: Como será a ilha em 2030, e em 2050? Como vão viver os habitantes da Ilha? Como irão mover-se de um lugar para outro? Etc. </w:t>
      </w:r>
    </w:p>
    <w:p w14:paraId="75F36743" w14:textId="77777777" w:rsidR="00C0096B" w:rsidRDefault="00AC7A60">
      <w:pPr>
        <w:spacing w:line="240" w:lineRule="auto"/>
        <w:rPr>
          <w:b/>
          <w:i/>
          <w:color w:val="2F5496" w:themeColor="accent1" w:themeShade="BF"/>
          <w:lang w:val="pt-PT"/>
        </w:rPr>
      </w:pPr>
      <w:r>
        <w:rPr>
          <w:b/>
          <w:i/>
          <w:color w:val="2F5496" w:themeColor="accent1" w:themeShade="BF"/>
          <w:lang w:val="pt-PT"/>
        </w:rPr>
        <w:t xml:space="preserve">Mais informações sobre como desenvolver a visão de energia limpa de uma Ilha podem ser encontradas no Manual de Transição para Energia Limpa da Ilha, Capítulo 4, secção "Desenvolvendo uma Visão da Ilha": "Criando a Visão". </w:t>
      </w:r>
    </w:p>
    <w:p w14:paraId="15CD7C4A" w14:textId="77777777" w:rsidR="00C0096B" w:rsidRDefault="00C0096B">
      <w:pPr>
        <w:rPr>
          <w:lang w:val="pt-PT"/>
        </w:rPr>
      </w:pPr>
    </w:p>
    <w:p w14:paraId="0725E9FE" w14:textId="77777777" w:rsidR="00C0096B" w:rsidRDefault="00AC7A6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548E7736" w14:textId="77777777" w:rsidR="00C0096B" w:rsidRDefault="00AC7A60">
      <w:pPr>
        <w:pStyle w:val="Heading2"/>
        <w:rPr>
          <w:lang w:val="pt-PT"/>
        </w:rPr>
      </w:pPr>
      <w:bookmarkStart w:id="42" w:name="_Toc30430921"/>
      <w:r>
        <w:rPr>
          <w:lang w:val="pt-PT"/>
        </w:rPr>
        <w:lastRenderedPageBreak/>
        <w:t>G</w:t>
      </w:r>
      <w:bookmarkEnd w:id="41"/>
      <w:bookmarkEnd w:id="42"/>
      <w:r>
        <w:rPr>
          <w:lang w:val="pt-PT"/>
        </w:rPr>
        <w:t>estão da Transição Energética</w:t>
      </w:r>
    </w:p>
    <w:p w14:paraId="78802675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Enquanto a secção de Mapeamento de Partes Interessadas visa listar as partes interessadas relevantes no processo de transição, a secção Gestão da Transição Energética concentra-se em determinar o papel de cada ator para alcançar a visão de energias limpas. Uma estrutura clara de gestão é a chave para o sucesso do processo de transição. </w:t>
      </w:r>
    </w:p>
    <w:p w14:paraId="67506085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Para estabelecer como o processo de transição será gerido, as seguintes perguntas devem ser respondidas:</w:t>
      </w:r>
    </w:p>
    <w:p w14:paraId="1193BEA3" w14:textId="77777777" w:rsidR="00C0096B" w:rsidRDefault="00AC7A60">
      <w:pPr>
        <w:pStyle w:val="ListParagraph"/>
        <w:numPr>
          <w:ilvl w:val="0"/>
          <w:numId w:val="13"/>
        </w:num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Qual é o papel de cada parte interessada no processo e quais são os seus recursos e motores da transição?</w:t>
      </w:r>
    </w:p>
    <w:p w14:paraId="6C053167" w14:textId="77777777" w:rsidR="00C0096B" w:rsidRDefault="00AC7A60">
      <w:pPr>
        <w:pStyle w:val="ListParagraph"/>
        <w:numPr>
          <w:ilvl w:val="0"/>
          <w:numId w:val="13"/>
        </w:num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Como é que as partes interessadas interagem e colaboram na transição? </w:t>
      </w:r>
    </w:p>
    <w:p w14:paraId="1E45337B" w14:textId="77777777" w:rsidR="00C0096B" w:rsidRDefault="00AC7A60">
      <w:pPr>
        <w:pStyle w:val="ListParagraph"/>
        <w:numPr>
          <w:ilvl w:val="0"/>
          <w:numId w:val="13"/>
        </w:num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Qual é o papel das autoridades locais? Em que medida pode ser prevista a apropriação por parte dos cidadãos e das empresas locais?</w:t>
      </w:r>
    </w:p>
    <w:p w14:paraId="5FD4C149" w14:textId="77777777" w:rsidR="00C0096B" w:rsidRDefault="00AC7A60">
      <w:pPr>
        <w:pStyle w:val="ListParagraph"/>
        <w:numPr>
          <w:ilvl w:val="0"/>
          <w:numId w:val="13"/>
        </w:num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Como é que os interesses, motivos e políticas das várias partes interessadas podem ser alinhados com uma visão comum? </w:t>
      </w:r>
    </w:p>
    <w:p w14:paraId="0007F1ED" w14:textId="77777777" w:rsidR="00C0096B" w:rsidRDefault="00AC7A60">
      <w:pPr>
        <w:jc w:val="left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Juntamente com estas questões, o mandato da equipa de transição precisa de ser esclarecido.  Um exemplo de tal mandato seria: Uma plataforma independente que é criada pelo município com um conselho consultivo que integrasse cooperativas de energias renováveis', 'uma câmara de comércio local', etc.</w:t>
      </w:r>
    </w:p>
    <w:p w14:paraId="4BD8D3DC" w14:textId="77777777" w:rsidR="00C0096B" w:rsidRDefault="00AC7A60">
      <w:pPr>
        <w:jc w:val="left"/>
        <w:rPr>
          <w:b/>
          <w:i/>
          <w:color w:val="2F5496" w:themeColor="accent1" w:themeShade="BF"/>
          <w:lang w:val="pt-PT"/>
        </w:rPr>
      </w:pPr>
      <w:r>
        <w:rPr>
          <w:b/>
          <w:i/>
          <w:color w:val="2F5496" w:themeColor="accent1" w:themeShade="BF"/>
          <w:lang w:val="pt-PT"/>
        </w:rPr>
        <w:t xml:space="preserve">Mais informações sobre como desenvolver a visão de energia limpa de uma ilha podem ser encontradas no Manual de Transição para Energia Limpa da Ilha, Capítulo 4, 'Desenvolvendo uma Visão da Ilha'. </w:t>
      </w:r>
    </w:p>
    <w:p w14:paraId="584472B1" w14:textId="77777777" w:rsidR="00C0096B" w:rsidRDefault="00C0096B">
      <w:pPr>
        <w:jc w:val="left"/>
        <w:rPr>
          <w:i/>
          <w:color w:val="2F5496" w:themeColor="accent1" w:themeShade="BF"/>
          <w:lang w:val="pt-PT"/>
        </w:rPr>
      </w:pPr>
    </w:p>
    <w:p w14:paraId="54F0DAA0" w14:textId="77777777" w:rsidR="00C0096B" w:rsidRDefault="00C0096B">
      <w:pPr>
        <w:jc w:val="left"/>
        <w:rPr>
          <w:lang w:val="pt-PT"/>
        </w:rPr>
      </w:pPr>
    </w:p>
    <w:p w14:paraId="36FFFC4D" w14:textId="77777777" w:rsidR="00C0096B" w:rsidRDefault="00AC7A6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157ED717" w14:textId="77777777" w:rsidR="00C0096B" w:rsidRDefault="00AC7A60">
      <w:pPr>
        <w:pStyle w:val="Heading2"/>
        <w:rPr>
          <w:lang w:val="pt-PT"/>
        </w:rPr>
      </w:pPr>
      <w:r>
        <w:rPr>
          <w:lang w:val="pt-PT"/>
        </w:rPr>
        <w:lastRenderedPageBreak/>
        <w:t>Planos</w:t>
      </w:r>
    </w:p>
    <w:p w14:paraId="3E0E3AEA" w14:textId="77777777" w:rsidR="00C0096B" w:rsidRDefault="00AC7A60">
      <w:pPr>
        <w:spacing w:line="259" w:lineRule="auto"/>
        <w:jc w:val="left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Uma vez definida a visão para a Ilha, os planos de transição permitem visualizar os potenciais caminhos de transição da situação atual para o futuro desejado. Estes caminhos serão baseados em possíveis soluções, por exemplo, substituindo os combustíveis fósseis por produção renovável ou promovendo o transporte limpo. Ao ligar soluções possíveis e construir planos, a equipa responsável pela transição pode identificar sinergias e apontar limitações e barreiras. </w:t>
      </w:r>
    </w:p>
    <w:p w14:paraId="42F6E745" w14:textId="77777777" w:rsidR="00C0096B" w:rsidRDefault="00AC7A60">
      <w:pPr>
        <w:spacing w:line="259" w:lineRule="auto"/>
        <w:jc w:val="left"/>
        <w:rPr>
          <w:b/>
          <w:lang w:val="pt-PT"/>
        </w:rPr>
      </w:pPr>
      <w:r>
        <w:rPr>
          <w:b/>
          <w:i/>
          <w:color w:val="2F5496" w:themeColor="accent1" w:themeShade="BF"/>
          <w:lang w:val="pt-PT"/>
        </w:rPr>
        <w:t>Mais informações sobre como construir caminhos podem ser encontradas no Manual de Transição para Energia Limpa da Ilha, Capítulo 5 "Explorando os Caminhos de Transição da Ilha", Secção "O caminho de transição da sua Ilha".</w:t>
      </w:r>
      <w:r>
        <w:rPr>
          <w:b/>
          <w:lang w:val="pt-PT"/>
        </w:rPr>
        <w:br w:type="page"/>
      </w:r>
    </w:p>
    <w:p w14:paraId="151307C1" w14:textId="77777777" w:rsidR="00C0096B" w:rsidRDefault="00AC7A60">
      <w:pPr>
        <w:pStyle w:val="Heading2"/>
        <w:rPr>
          <w:lang w:val="pt-PT"/>
        </w:rPr>
      </w:pPr>
      <w:bookmarkStart w:id="43" w:name="_Toc2349164"/>
      <w:bookmarkStart w:id="44" w:name="_Toc30430923"/>
      <w:r>
        <w:rPr>
          <w:lang w:val="pt-PT"/>
        </w:rPr>
        <w:lastRenderedPageBreak/>
        <w:t>Pilares da Transição Energética</w:t>
      </w:r>
      <w:bookmarkEnd w:id="43"/>
      <w:bookmarkEnd w:id="44"/>
    </w:p>
    <w:p w14:paraId="161D27BF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Os caminhos/planos construídos para realizar a visão a partir da situação atual são baseados ou dependem de soluções mais específicas (por exemplo, está planeada a substituição da produção de energia elétrica a partir de combustíveis fósseis por energias renováveis, nomeadamente a solar e eólica). Neste momento, as soluções devem ser classificadas de acordo com os pilares da transição energética. Seguindo os vetores de energia sugeridos na secção Descrição do Sistema Energético, o Secretariado recomenda a utilização dos seguintes pilares:</w:t>
      </w:r>
    </w:p>
    <w:p w14:paraId="778A7970" w14:textId="77777777" w:rsidR="00C0096B" w:rsidRDefault="00AC7A60">
      <w:pPr>
        <w:pStyle w:val="ListParagraph"/>
        <w:numPr>
          <w:ilvl w:val="0"/>
          <w:numId w:val="14"/>
        </w:num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Produção de energia elétrica,</w:t>
      </w:r>
    </w:p>
    <w:p w14:paraId="1661C097" w14:textId="77777777" w:rsidR="00C0096B" w:rsidRDefault="00AC7A60">
      <w:pPr>
        <w:pStyle w:val="ListParagraph"/>
        <w:numPr>
          <w:ilvl w:val="0"/>
          <w:numId w:val="14"/>
        </w:num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Aquecimento e arrefecimento,</w:t>
      </w:r>
    </w:p>
    <w:p w14:paraId="3F2620EB" w14:textId="77777777" w:rsidR="00C0096B" w:rsidRDefault="00AC7A60">
      <w:pPr>
        <w:pStyle w:val="ListParagraph"/>
        <w:numPr>
          <w:ilvl w:val="0"/>
          <w:numId w:val="14"/>
        </w:num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Transporte na Ilha,</w:t>
      </w:r>
    </w:p>
    <w:p w14:paraId="34C9BCD3" w14:textId="77777777" w:rsidR="00C0096B" w:rsidRDefault="00AC7A60">
      <w:pPr>
        <w:pStyle w:val="ListParagraph"/>
        <w:numPr>
          <w:ilvl w:val="0"/>
          <w:numId w:val="14"/>
        </w:num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Transporte de e para a Ilha.</w:t>
      </w:r>
    </w:p>
    <w:p w14:paraId="3A5DC23F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Uma vez classificadas, as soluções podem ser mais desenvolvidas na secção de pilares. Seguindo o exemplo acima, os prazos sugeridos, capacidade, estruturas organizacionais, etc. para os projetos eólicos e solares previstos podem ser explicados mais detalhadamente neste ponto. </w:t>
      </w:r>
    </w:p>
    <w:p w14:paraId="39F1AB53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As ilhas que têm um processo de planeamento contínuo que identifica outros pilares (por exemplo, por setor) são bem-vindas para usá-los, desde que todos os pilares acima sejam cobertos. As ilhas são convidadas a incluir pilares adicionais, tais como redução do consumo energético e eficiência energética, de acordo com o contexto local.</w:t>
      </w:r>
    </w:p>
    <w:p w14:paraId="07467116" w14:textId="77777777" w:rsidR="00C0096B" w:rsidRDefault="00AC7A60">
      <w:pPr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Para cada um dos pilares, é identificado um </w:t>
      </w:r>
      <w:r>
        <w:rPr>
          <w:b/>
          <w:i/>
          <w:color w:val="2F5496" w:themeColor="accent1" w:themeShade="BF"/>
          <w:lang w:val="pt-PT"/>
        </w:rPr>
        <w:t>objetivo geral</w:t>
      </w:r>
      <w:r>
        <w:rPr>
          <w:i/>
          <w:color w:val="2F5496" w:themeColor="accent1" w:themeShade="BF"/>
          <w:lang w:val="pt-PT"/>
        </w:rPr>
        <w:t xml:space="preserve">. Subsequentemente, uma ou mais </w:t>
      </w:r>
      <w:r>
        <w:rPr>
          <w:b/>
          <w:i/>
          <w:color w:val="2F5496" w:themeColor="accent1" w:themeShade="BF"/>
          <w:lang w:val="pt-PT"/>
        </w:rPr>
        <w:t>estratégias</w:t>
      </w:r>
      <w:r>
        <w:rPr>
          <w:i/>
          <w:color w:val="2F5496" w:themeColor="accent1" w:themeShade="BF"/>
          <w:lang w:val="pt-PT"/>
        </w:rPr>
        <w:t xml:space="preserve"> para alcançar esse objetivo podem ser delineadas, seguidas das </w:t>
      </w:r>
      <w:r>
        <w:rPr>
          <w:b/>
          <w:i/>
          <w:color w:val="2F5496" w:themeColor="accent1" w:themeShade="BF"/>
          <w:lang w:val="pt-PT"/>
        </w:rPr>
        <w:t>ações</w:t>
      </w:r>
      <w:r>
        <w:rPr>
          <w:i/>
          <w:color w:val="2F5496" w:themeColor="accent1" w:themeShade="BF"/>
          <w:lang w:val="pt-PT"/>
        </w:rPr>
        <w:t xml:space="preserve"> diretas a serem tomadas para avançar. </w:t>
      </w:r>
    </w:p>
    <w:p w14:paraId="346D1BFB" w14:textId="77777777" w:rsidR="00C0096B" w:rsidRDefault="00AC7A60">
      <w:pPr>
        <w:rPr>
          <w:b/>
          <w:i/>
          <w:color w:val="2F5496" w:themeColor="accent1" w:themeShade="BF"/>
          <w:lang w:val="pt-PT"/>
        </w:rPr>
      </w:pPr>
      <w:r>
        <w:rPr>
          <w:b/>
          <w:i/>
          <w:color w:val="2F5496" w:themeColor="accent1" w:themeShade="BF"/>
          <w:lang w:val="pt-PT"/>
        </w:rPr>
        <w:t xml:space="preserve">Mais informações sobre como desenvolver pilares de transição de energia limpa podem ser encontradas no Manual de Transição para Energia Limpa da Ilha, Capítulo 5 "Explorando os Caminhos de Transição da Ilha", secção "Pilares da transição de energia". </w:t>
      </w:r>
      <w:bookmarkStart w:id="45" w:name="_Toc2349170"/>
      <w:r>
        <w:rPr>
          <w:i/>
          <w:color w:val="44546A" w:themeColor="text2"/>
          <w:szCs w:val="20"/>
          <w:lang w:val="pt-PT"/>
        </w:rPr>
        <w:br w:type="page"/>
      </w:r>
    </w:p>
    <w:p w14:paraId="58D72E7E" w14:textId="77777777" w:rsidR="00C0096B" w:rsidRDefault="00AC7A60">
      <w:pPr>
        <w:pStyle w:val="Heading2"/>
        <w:rPr>
          <w:lang w:val="pt-PT"/>
        </w:rPr>
      </w:pPr>
      <w:bookmarkStart w:id="46" w:name="_Toc30430924"/>
      <w:bookmarkStart w:id="47" w:name="_Toc2349172"/>
      <w:bookmarkEnd w:id="45"/>
      <w:r>
        <w:rPr>
          <w:lang w:val="pt-PT"/>
        </w:rPr>
        <w:lastRenderedPageBreak/>
        <w:t>Monitorização</w:t>
      </w:r>
      <w:bookmarkEnd w:id="46"/>
      <w:bookmarkEnd w:id="47"/>
    </w:p>
    <w:p w14:paraId="521F8E76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bookmarkStart w:id="48" w:name="_Toc2349175"/>
      <w:r>
        <w:rPr>
          <w:i/>
          <w:color w:val="2F5496" w:themeColor="accent1" w:themeShade="BF"/>
          <w:lang w:val="pt-PT"/>
        </w:rPr>
        <w:t xml:space="preserve">A monitorização é uma parte importante do processo de aprendizagem da transição. Tanto o processo de transição como a gestão da transição devem ser monitorizados e avaliados. O objetivo é gerar pareceres baseado nos resultados medidos, o que permite melhorar o processo de transição enquanto este está em curso. </w:t>
      </w:r>
    </w:p>
    <w:p w14:paraId="1FA913EB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>Os processos de transição são incertos por natureza; portanto, a Agenda de Transição para Energia Limpa não pode ser um documento estático. Através de relatórios periódicos, a Agenda deve ser revista e ajustada para acomodar as mudanças.</w:t>
      </w:r>
    </w:p>
    <w:p w14:paraId="346DEA0D" w14:textId="77777777" w:rsidR="00C0096B" w:rsidRDefault="00AC7A60">
      <w:pPr>
        <w:spacing w:line="240" w:lineRule="auto"/>
        <w:rPr>
          <w:i/>
          <w:color w:val="2F5496" w:themeColor="accent1" w:themeShade="BF"/>
          <w:lang w:val="pt-PT"/>
        </w:rPr>
      </w:pPr>
      <w:r>
        <w:rPr>
          <w:i/>
          <w:color w:val="2F5496" w:themeColor="accent1" w:themeShade="BF"/>
          <w:lang w:val="pt-PT"/>
        </w:rPr>
        <w:t xml:space="preserve">Uma matriz de auto-avaliação está disponível em: </w:t>
      </w:r>
      <w:r w:rsidR="001D226C">
        <w:fldChar w:fldCharType="begin"/>
      </w:r>
      <w:r w:rsidR="001D226C" w:rsidRPr="00E87DCB">
        <w:rPr>
          <w:lang w:val="fr-FR"/>
        </w:rPr>
        <w:instrText xml:space="preserve"> HYPERLINK "https://euislands.eu/transition-indicator" </w:instrText>
      </w:r>
      <w:r w:rsidR="001D226C">
        <w:fldChar w:fldCharType="separate"/>
      </w:r>
      <w:r>
        <w:rPr>
          <w:rStyle w:val="Hyperlink"/>
          <w:i/>
          <w:lang w:val="pt-PT"/>
        </w:rPr>
        <w:t>https://euislands.eu/transition-indicator</w:t>
      </w:r>
      <w:r w:rsidR="001D226C">
        <w:rPr>
          <w:rStyle w:val="Hyperlink"/>
          <w:i/>
          <w:lang w:val="pt-PT"/>
        </w:rPr>
        <w:fldChar w:fldCharType="end"/>
      </w:r>
      <w:r>
        <w:rPr>
          <w:i/>
          <w:color w:val="2F5496" w:themeColor="accent1" w:themeShade="BF"/>
          <w:lang w:val="pt-PT"/>
        </w:rPr>
        <w:t xml:space="preserve"> juntamente com vídeos que explicam como preenchê-la. Os resultados da matriz de auto-avaliação, juntamente com uma explicação das razões para cada pontuação, devem ser resumidos nesta secção da Agenda. A auto-avaliação deve ser realizada pelo menos duas vezes por ano, podendo a evolução das pontuações ser atualizada nas versões subsequentes da Agenda de Transição. </w:t>
      </w:r>
    </w:p>
    <w:p w14:paraId="77B8B9BB" w14:textId="77777777" w:rsidR="00C0096B" w:rsidRDefault="00AC7A60">
      <w:pPr>
        <w:spacing w:line="240" w:lineRule="auto"/>
        <w:rPr>
          <w:b/>
          <w:i/>
          <w:color w:val="2F5496" w:themeColor="accent1" w:themeShade="BF"/>
          <w:szCs w:val="20"/>
          <w:lang w:val="pt-PT"/>
        </w:rPr>
      </w:pPr>
      <w:r>
        <w:rPr>
          <w:b/>
          <w:i/>
          <w:color w:val="2F5496" w:themeColor="accent1" w:themeShade="BF"/>
          <w:lang w:val="pt-PT"/>
        </w:rPr>
        <w:t>Mais informações sobre como monitorizar o processo de transição podem ser encontradas no Manual de Transição para Energia Limpa da Ilha, Capítulo 5: Monitorização da Transição.</w:t>
      </w:r>
    </w:p>
    <w:p w14:paraId="04BA1FF1" w14:textId="77777777" w:rsidR="00C0096B" w:rsidRDefault="00AC7A60">
      <w:pPr>
        <w:rPr>
          <w:b/>
          <w:sz w:val="22"/>
          <w:lang w:val="pt-PT"/>
        </w:rPr>
      </w:pPr>
      <w:r>
        <w:rPr>
          <w:b/>
          <w:sz w:val="22"/>
          <w:lang w:val="pt-PT"/>
        </w:rPr>
        <w:t>Indicador 1: Agenda de Transição para Energia Limpa</w:t>
      </w:r>
    </w:p>
    <w:p w14:paraId="73680E54" w14:textId="77777777" w:rsidR="00C0096B" w:rsidRDefault="00AC7A60">
      <w:pPr>
        <w:rPr>
          <w:b/>
          <w:sz w:val="32"/>
          <w:szCs w:val="32"/>
          <w:highlight w:val="green"/>
          <w:lang w:val="pt-PT"/>
        </w:rPr>
      </w:pPr>
      <w:r>
        <w:rPr>
          <w:b/>
          <w:sz w:val="32"/>
          <w:szCs w:val="32"/>
          <w:highlight w:val="green"/>
          <w:lang w:val="pt-PT"/>
        </w:rPr>
        <w:t>Pontuação</w:t>
      </w:r>
    </w:p>
    <w:p w14:paraId="79FAAC0A" w14:textId="77777777" w:rsidR="00C0096B" w:rsidRDefault="00AC7A60">
      <w:pPr>
        <w:ind w:left="708"/>
        <w:rPr>
          <w:szCs w:val="20"/>
          <w:lang w:val="pt-PT"/>
        </w:rPr>
      </w:pPr>
      <w:r>
        <w:rPr>
          <w:szCs w:val="20"/>
          <w:highlight w:val="green"/>
          <w:lang w:val="pt-PT"/>
        </w:rPr>
        <w:t>Resumo da discussão</w:t>
      </w:r>
    </w:p>
    <w:p w14:paraId="20A701D5" w14:textId="77777777" w:rsidR="00C0096B" w:rsidRDefault="00AC7A60">
      <w:pPr>
        <w:rPr>
          <w:b/>
          <w:sz w:val="22"/>
          <w:lang w:val="pt-PT"/>
        </w:rPr>
      </w:pPr>
      <w:r>
        <w:rPr>
          <w:b/>
          <w:sz w:val="22"/>
          <w:lang w:val="pt-PT"/>
        </w:rPr>
        <w:t xml:space="preserve">Indicador 2: Visão </w:t>
      </w:r>
    </w:p>
    <w:p w14:paraId="41FE0825" w14:textId="77777777" w:rsidR="00C0096B" w:rsidRDefault="00AC7A60">
      <w:pPr>
        <w:rPr>
          <w:b/>
          <w:sz w:val="32"/>
          <w:szCs w:val="32"/>
          <w:highlight w:val="green"/>
          <w:lang w:val="pt-PT"/>
        </w:rPr>
      </w:pPr>
      <w:r>
        <w:rPr>
          <w:b/>
          <w:sz w:val="32"/>
          <w:szCs w:val="32"/>
          <w:highlight w:val="green"/>
          <w:lang w:val="pt-PT"/>
        </w:rPr>
        <w:t>Pontuação</w:t>
      </w:r>
    </w:p>
    <w:p w14:paraId="498B3D05" w14:textId="77777777" w:rsidR="00C0096B" w:rsidRDefault="00AC7A60">
      <w:pPr>
        <w:ind w:left="708"/>
        <w:rPr>
          <w:szCs w:val="20"/>
          <w:lang w:val="pt-PT"/>
        </w:rPr>
      </w:pPr>
      <w:r>
        <w:rPr>
          <w:szCs w:val="20"/>
          <w:highlight w:val="green"/>
          <w:lang w:val="pt-PT"/>
        </w:rPr>
        <w:t>Resumo da discussão</w:t>
      </w:r>
    </w:p>
    <w:p w14:paraId="7DB0D0E3" w14:textId="77777777" w:rsidR="00C0096B" w:rsidRDefault="00AC7A60">
      <w:pPr>
        <w:rPr>
          <w:b/>
          <w:sz w:val="22"/>
          <w:lang w:val="pt-PT"/>
        </w:rPr>
      </w:pPr>
      <w:bookmarkStart w:id="49" w:name="_Toc12885830"/>
      <w:r>
        <w:rPr>
          <w:b/>
          <w:sz w:val="22"/>
          <w:lang w:val="pt-PT"/>
        </w:rPr>
        <w:t>Indicador 3: Comunidade - Partes Interessadas (Stakeholders)</w:t>
      </w:r>
    </w:p>
    <w:p w14:paraId="034AA023" w14:textId="77777777" w:rsidR="00C0096B" w:rsidRDefault="00AC7A60">
      <w:pPr>
        <w:rPr>
          <w:b/>
          <w:sz w:val="32"/>
          <w:szCs w:val="32"/>
          <w:highlight w:val="green"/>
          <w:lang w:val="pt-PT"/>
        </w:rPr>
      </w:pPr>
      <w:r>
        <w:rPr>
          <w:b/>
          <w:sz w:val="32"/>
          <w:szCs w:val="32"/>
          <w:highlight w:val="green"/>
          <w:lang w:val="pt-PT"/>
        </w:rPr>
        <w:t>Pontuação</w:t>
      </w:r>
    </w:p>
    <w:p w14:paraId="60EE0201" w14:textId="77777777" w:rsidR="00C0096B" w:rsidRDefault="00AC7A60">
      <w:pPr>
        <w:ind w:left="708"/>
        <w:rPr>
          <w:szCs w:val="20"/>
          <w:lang w:val="pt-PT"/>
        </w:rPr>
      </w:pPr>
      <w:r>
        <w:rPr>
          <w:szCs w:val="20"/>
          <w:highlight w:val="green"/>
          <w:lang w:val="pt-PT"/>
        </w:rPr>
        <w:t>Resumo da discussão</w:t>
      </w:r>
    </w:p>
    <w:p w14:paraId="25CFCF69" w14:textId="77777777" w:rsidR="00C0096B" w:rsidRDefault="00AC7A60">
      <w:pPr>
        <w:rPr>
          <w:b/>
          <w:sz w:val="22"/>
          <w:lang w:val="pt-PT"/>
        </w:rPr>
      </w:pPr>
      <w:bookmarkStart w:id="50" w:name="_Toc12885831"/>
      <w:bookmarkEnd w:id="49"/>
      <w:r>
        <w:rPr>
          <w:b/>
          <w:sz w:val="22"/>
          <w:lang w:val="pt-PT"/>
        </w:rPr>
        <w:t xml:space="preserve">Indicador 4: Comunidade - Organização  </w:t>
      </w:r>
    </w:p>
    <w:p w14:paraId="3054C0F8" w14:textId="77777777" w:rsidR="00C0096B" w:rsidRDefault="00AC7A60">
      <w:pPr>
        <w:rPr>
          <w:b/>
          <w:sz w:val="32"/>
          <w:szCs w:val="32"/>
          <w:highlight w:val="green"/>
          <w:lang w:val="pt-PT"/>
        </w:rPr>
      </w:pPr>
      <w:r>
        <w:rPr>
          <w:b/>
          <w:sz w:val="32"/>
          <w:szCs w:val="32"/>
          <w:highlight w:val="green"/>
          <w:lang w:val="pt-PT"/>
        </w:rPr>
        <w:t>Pontuação</w:t>
      </w:r>
    </w:p>
    <w:p w14:paraId="3E7BAB0F" w14:textId="77777777" w:rsidR="00C0096B" w:rsidRDefault="00AC7A60">
      <w:pPr>
        <w:ind w:left="708"/>
        <w:rPr>
          <w:szCs w:val="20"/>
          <w:lang w:val="pt-PT"/>
        </w:rPr>
      </w:pPr>
      <w:r>
        <w:rPr>
          <w:szCs w:val="20"/>
          <w:highlight w:val="green"/>
          <w:lang w:val="pt-PT"/>
        </w:rPr>
        <w:t>Resumo da discussão</w:t>
      </w:r>
    </w:p>
    <w:bookmarkEnd w:id="50"/>
    <w:p w14:paraId="295E246F" w14:textId="77777777" w:rsidR="00C0096B" w:rsidRDefault="00AC7A60">
      <w:pPr>
        <w:rPr>
          <w:b/>
          <w:sz w:val="22"/>
          <w:lang w:val="pt-PT"/>
        </w:rPr>
      </w:pPr>
      <w:r>
        <w:rPr>
          <w:b/>
          <w:sz w:val="22"/>
          <w:lang w:val="pt-PT"/>
        </w:rPr>
        <w:t xml:space="preserve">Indicador 5: Conceito de financiamento </w:t>
      </w:r>
    </w:p>
    <w:p w14:paraId="1BA882D4" w14:textId="77777777" w:rsidR="00C0096B" w:rsidRDefault="00AC7A60">
      <w:pPr>
        <w:rPr>
          <w:b/>
          <w:sz w:val="32"/>
          <w:szCs w:val="32"/>
          <w:highlight w:val="green"/>
          <w:lang w:val="pt-PT"/>
        </w:rPr>
      </w:pPr>
      <w:r>
        <w:rPr>
          <w:b/>
          <w:sz w:val="32"/>
          <w:szCs w:val="32"/>
          <w:highlight w:val="green"/>
          <w:lang w:val="pt-PT"/>
        </w:rPr>
        <w:t>Pontuação</w:t>
      </w:r>
    </w:p>
    <w:p w14:paraId="2AAFC3F4" w14:textId="77777777" w:rsidR="00C0096B" w:rsidRDefault="00AC7A60">
      <w:pPr>
        <w:ind w:left="708"/>
        <w:rPr>
          <w:szCs w:val="20"/>
          <w:lang w:val="pt-PT"/>
        </w:rPr>
      </w:pPr>
      <w:r>
        <w:rPr>
          <w:szCs w:val="20"/>
          <w:highlight w:val="green"/>
          <w:lang w:val="pt-PT"/>
        </w:rPr>
        <w:t>Resumo da discussão</w:t>
      </w:r>
    </w:p>
    <w:p w14:paraId="33FD1F50" w14:textId="77777777" w:rsidR="00C0096B" w:rsidRDefault="00AC7A60">
      <w:pPr>
        <w:rPr>
          <w:b/>
          <w:sz w:val="22"/>
          <w:lang w:val="pt-PT"/>
        </w:rPr>
      </w:pPr>
      <w:r>
        <w:rPr>
          <w:b/>
          <w:sz w:val="22"/>
          <w:lang w:val="pt-PT"/>
        </w:rPr>
        <w:t>Indicador 6: Plano de descarbonização - Diagnóstico</w:t>
      </w:r>
    </w:p>
    <w:p w14:paraId="10A71855" w14:textId="77777777" w:rsidR="00C0096B" w:rsidRDefault="00AC7A60">
      <w:pPr>
        <w:rPr>
          <w:b/>
          <w:sz w:val="32"/>
          <w:szCs w:val="32"/>
          <w:highlight w:val="green"/>
          <w:lang w:val="pt-PT"/>
        </w:rPr>
      </w:pPr>
      <w:r>
        <w:rPr>
          <w:b/>
          <w:sz w:val="32"/>
          <w:szCs w:val="32"/>
          <w:highlight w:val="green"/>
          <w:lang w:val="pt-PT"/>
        </w:rPr>
        <w:t>Pontuação</w:t>
      </w:r>
    </w:p>
    <w:p w14:paraId="755D274D" w14:textId="77777777" w:rsidR="00C0096B" w:rsidRDefault="00AC7A60">
      <w:pPr>
        <w:ind w:left="708"/>
        <w:rPr>
          <w:szCs w:val="20"/>
          <w:lang w:val="pt-PT"/>
        </w:rPr>
      </w:pPr>
      <w:r>
        <w:rPr>
          <w:szCs w:val="20"/>
          <w:highlight w:val="green"/>
          <w:lang w:val="pt-PT"/>
        </w:rPr>
        <w:t>Resumo da discussão</w:t>
      </w:r>
    </w:p>
    <w:p w14:paraId="11B9BE8B" w14:textId="77777777" w:rsidR="00C0096B" w:rsidRDefault="00AC7A60">
      <w:pPr>
        <w:rPr>
          <w:b/>
          <w:sz w:val="22"/>
          <w:lang w:val="pt-PT"/>
        </w:rPr>
      </w:pPr>
      <w:r>
        <w:rPr>
          <w:b/>
          <w:sz w:val="22"/>
          <w:lang w:val="pt-PT"/>
        </w:rPr>
        <w:lastRenderedPageBreak/>
        <w:t xml:space="preserve">Indicador 7: Plano de descarbonização - Dados </w:t>
      </w:r>
    </w:p>
    <w:p w14:paraId="1DCFA0DB" w14:textId="77777777" w:rsidR="00C0096B" w:rsidRDefault="00AC7A60">
      <w:pPr>
        <w:rPr>
          <w:b/>
          <w:sz w:val="32"/>
          <w:szCs w:val="32"/>
          <w:highlight w:val="green"/>
          <w:lang w:val="pt-PT"/>
        </w:rPr>
      </w:pPr>
      <w:r>
        <w:rPr>
          <w:b/>
          <w:sz w:val="32"/>
          <w:szCs w:val="32"/>
          <w:highlight w:val="green"/>
          <w:lang w:val="pt-PT"/>
        </w:rPr>
        <w:t>Pontuação</w:t>
      </w:r>
    </w:p>
    <w:p w14:paraId="415ABA8A" w14:textId="77777777" w:rsidR="00C0096B" w:rsidRDefault="00AC7A60">
      <w:pPr>
        <w:ind w:left="708"/>
        <w:rPr>
          <w:szCs w:val="20"/>
          <w:lang w:val="pt-PT"/>
        </w:rPr>
      </w:pPr>
      <w:r>
        <w:rPr>
          <w:szCs w:val="20"/>
          <w:highlight w:val="green"/>
          <w:lang w:val="pt-PT"/>
        </w:rPr>
        <w:t>Resumo da discussão</w:t>
      </w:r>
    </w:p>
    <w:p w14:paraId="50B316D3" w14:textId="77777777" w:rsidR="00C0096B" w:rsidRDefault="00AC7A60">
      <w:pPr>
        <w:rPr>
          <w:b/>
          <w:sz w:val="22"/>
          <w:lang w:val="pt-PT"/>
        </w:rPr>
      </w:pPr>
      <w:r>
        <w:rPr>
          <w:b/>
          <w:sz w:val="22"/>
          <w:lang w:val="pt-PT"/>
        </w:rPr>
        <w:t>Indicador 8: Plano de descarbonização - Plano de ação</w:t>
      </w:r>
    </w:p>
    <w:p w14:paraId="017F7C91" w14:textId="77777777" w:rsidR="00C0096B" w:rsidRDefault="00AC7A60">
      <w:pPr>
        <w:rPr>
          <w:b/>
          <w:sz w:val="32"/>
          <w:szCs w:val="32"/>
          <w:highlight w:val="green"/>
          <w:lang w:val="pt-PT"/>
        </w:rPr>
      </w:pPr>
      <w:r>
        <w:rPr>
          <w:b/>
          <w:sz w:val="32"/>
          <w:szCs w:val="32"/>
          <w:highlight w:val="green"/>
          <w:lang w:val="pt-PT"/>
        </w:rPr>
        <w:t>Pontuação</w:t>
      </w:r>
    </w:p>
    <w:p w14:paraId="12DA66F9" w14:textId="77777777" w:rsidR="00C0096B" w:rsidRDefault="00AC7A60">
      <w:pPr>
        <w:ind w:left="708"/>
        <w:rPr>
          <w:szCs w:val="20"/>
          <w:lang w:val="pt-PT"/>
        </w:rPr>
      </w:pPr>
      <w:r>
        <w:rPr>
          <w:szCs w:val="20"/>
          <w:highlight w:val="green"/>
          <w:lang w:val="pt-PT"/>
        </w:rPr>
        <w:t>Resumo da discussão</w:t>
      </w:r>
    </w:p>
    <w:p w14:paraId="5FAD1CF2" w14:textId="77777777" w:rsidR="00C0096B" w:rsidRDefault="00AC7A60">
      <w:pPr>
        <w:rPr>
          <w:b/>
          <w:sz w:val="22"/>
          <w:lang w:val="pt-PT"/>
        </w:rPr>
      </w:pPr>
      <w:r>
        <w:rPr>
          <w:b/>
          <w:sz w:val="22"/>
          <w:lang w:val="pt-PT"/>
        </w:rPr>
        <w:t>Indicador 9: Governação multinível</w:t>
      </w:r>
    </w:p>
    <w:p w14:paraId="0F3C67FD" w14:textId="77777777" w:rsidR="00C0096B" w:rsidRDefault="00AC7A60">
      <w:pPr>
        <w:rPr>
          <w:b/>
          <w:sz w:val="32"/>
          <w:szCs w:val="32"/>
          <w:highlight w:val="green"/>
        </w:rPr>
      </w:pPr>
      <w:proofErr w:type="spellStart"/>
      <w:r>
        <w:rPr>
          <w:b/>
          <w:sz w:val="32"/>
          <w:szCs w:val="32"/>
          <w:highlight w:val="green"/>
        </w:rPr>
        <w:t>Pontuação</w:t>
      </w:r>
      <w:proofErr w:type="spellEnd"/>
    </w:p>
    <w:p w14:paraId="1B6E1EA4" w14:textId="77777777" w:rsidR="00C0096B" w:rsidRDefault="00AC7A60">
      <w:pPr>
        <w:ind w:left="708"/>
        <w:rPr>
          <w:szCs w:val="20"/>
        </w:rPr>
      </w:pPr>
      <w:proofErr w:type="spellStart"/>
      <w:r>
        <w:rPr>
          <w:szCs w:val="20"/>
          <w:highlight w:val="green"/>
        </w:rPr>
        <w:t>Resumo</w:t>
      </w:r>
      <w:proofErr w:type="spellEnd"/>
      <w:r>
        <w:rPr>
          <w:szCs w:val="20"/>
          <w:highlight w:val="green"/>
        </w:rPr>
        <w:t xml:space="preserve"> da </w:t>
      </w:r>
      <w:proofErr w:type="spellStart"/>
      <w:r>
        <w:rPr>
          <w:szCs w:val="20"/>
          <w:highlight w:val="green"/>
        </w:rPr>
        <w:t>discussão</w:t>
      </w:r>
      <w:proofErr w:type="spellEnd"/>
    </w:p>
    <w:p w14:paraId="6A9A493A" w14:textId="77777777" w:rsidR="00C0096B" w:rsidRDefault="00C0096B">
      <w:pPr>
        <w:spacing w:line="240" w:lineRule="auto"/>
        <w:rPr>
          <w:b/>
          <w:i/>
          <w:color w:val="2F5496" w:themeColor="accent1" w:themeShade="BF"/>
        </w:rPr>
      </w:pPr>
    </w:p>
    <w:p w14:paraId="3BF81322" w14:textId="77777777" w:rsidR="00C0096B" w:rsidRDefault="00AC7A60">
      <w:pPr>
        <w:spacing w:line="259" w:lineRule="auto"/>
        <w:jc w:val="left"/>
        <w:rPr>
          <w:i/>
          <w:color w:val="44546A" w:themeColor="text2"/>
          <w:szCs w:val="20"/>
        </w:rPr>
      </w:pPr>
      <w:r>
        <w:rPr>
          <w:i/>
          <w:color w:val="44546A" w:themeColor="text2"/>
          <w:szCs w:val="20"/>
        </w:rPr>
        <w:br w:type="page"/>
      </w:r>
    </w:p>
    <w:p w14:paraId="3702C9C2" w14:textId="77777777" w:rsidR="00C0096B" w:rsidRDefault="00AC7A60">
      <w:pPr>
        <w:pStyle w:val="Heading1"/>
      </w:pPr>
      <w:bookmarkStart w:id="51" w:name="_Toc30430925"/>
      <w:proofErr w:type="spellStart"/>
      <w:r>
        <w:lastRenderedPageBreak/>
        <w:t>Referências</w:t>
      </w:r>
      <w:bookmarkEnd w:id="48"/>
      <w:bookmarkEnd w:id="51"/>
      <w:proofErr w:type="spellEnd"/>
    </w:p>
    <w:p w14:paraId="0102D91E" w14:textId="77777777" w:rsidR="00C0096B" w:rsidRDefault="00AC7A60">
      <w:pPr>
        <w:jc w:val="left"/>
      </w:pPr>
      <w:r>
        <w:t>[1] Bertoldi P. (editor), Guidebook 'How to develop a Sustainable Energy and Climate Action Plan (SECAP) – Part 2 - Baseline Emission Inventory (BEI) and Risk and Vulnerability Assessment (RVA), EUR 29412 EN, Publications Office of the European Union, Luxembourg, 2018, ISBN 978-92-79-96929-4, doi:10.2760/118857, JRC112986</w:t>
      </w:r>
    </w:p>
    <w:p w14:paraId="65500BDE" w14:textId="77777777" w:rsidR="00C0096B" w:rsidRDefault="00AC7A60">
      <w:pPr>
        <w:jc w:val="left"/>
        <w:rPr>
          <w:lang w:val="pt-PT"/>
        </w:rPr>
      </w:pPr>
      <w:r>
        <w:rPr>
          <w:lang w:val="pt-PT"/>
        </w:rPr>
        <w:t>Disponível em:</w:t>
      </w:r>
    </w:p>
    <w:p w14:paraId="4AE437CA" w14:textId="77777777" w:rsidR="00C0096B" w:rsidRDefault="001D226C">
      <w:pPr>
        <w:jc w:val="left"/>
        <w:rPr>
          <w:lang w:val="pt-PT"/>
        </w:rPr>
      </w:pPr>
      <w:hyperlink r:id="rId16" w:history="1">
        <w:r w:rsidR="00AC7A60">
          <w:rPr>
            <w:rStyle w:val="Hyperlink"/>
            <w:lang w:val="pt-PT"/>
          </w:rPr>
          <w:t>http://publications.jrc.ec.europa.eu/repository/bitstream/JRC112986/jrc112986_kj-nb-29412-en-n.pdf</w:t>
        </w:r>
      </w:hyperlink>
    </w:p>
    <w:p w14:paraId="303D1427" w14:textId="77777777" w:rsidR="00C0096B" w:rsidRDefault="00AC7A60">
      <w:pPr>
        <w:spacing w:line="259" w:lineRule="auto"/>
        <w:jc w:val="left"/>
        <w:rPr>
          <w:szCs w:val="20"/>
          <w:lang w:val="pt-PT"/>
        </w:rPr>
      </w:pPr>
      <w:r>
        <w:rPr>
          <w:szCs w:val="20"/>
          <w:lang w:val="pt-PT"/>
        </w:rPr>
        <w:br w:type="page"/>
      </w:r>
    </w:p>
    <w:p w14:paraId="323AF8DB" w14:textId="77777777" w:rsidR="00C0096B" w:rsidRDefault="00C0096B">
      <w:pPr>
        <w:ind w:left="1440" w:right="153"/>
        <w:jc w:val="left"/>
        <w:rPr>
          <w:lang w:val="pt-PT"/>
        </w:rPr>
      </w:pPr>
    </w:p>
    <w:p w14:paraId="1B69B77D" w14:textId="77777777" w:rsidR="00C0096B" w:rsidRDefault="00C0096B">
      <w:pPr>
        <w:ind w:left="1440" w:right="153"/>
        <w:jc w:val="left"/>
        <w:rPr>
          <w:lang w:val="pt-PT"/>
        </w:rPr>
      </w:pPr>
    </w:p>
    <w:p w14:paraId="41B0E64A" w14:textId="77777777" w:rsidR="00C0096B" w:rsidRDefault="00AC7A60">
      <w:pPr>
        <w:ind w:left="1440" w:right="153"/>
        <w:jc w:val="left"/>
        <w:rPr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5408" behindDoc="0" locked="0" layoutInCell="1" allowOverlap="1" wp14:anchorId="568D8D38" wp14:editId="0F6F89B1">
            <wp:simplePos x="0" y="0"/>
            <wp:positionH relativeFrom="margin">
              <wp:posOffset>-45720</wp:posOffset>
            </wp:positionH>
            <wp:positionV relativeFrom="paragraph">
              <wp:posOffset>291465</wp:posOffset>
            </wp:positionV>
            <wp:extent cx="837565" cy="558800"/>
            <wp:effectExtent l="0" t="0" r="635" b="0"/>
            <wp:wrapNone/>
            <wp:docPr id="11" name="Picture 11" descr="Image result for eu fla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age result for eu flag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F8158" w14:textId="77777777" w:rsidR="00C0096B" w:rsidRPr="002C7603" w:rsidRDefault="002C7603" w:rsidP="002C7603">
      <w:pPr>
        <w:ind w:left="1440"/>
        <w:jc w:val="left"/>
        <w:rPr>
          <w:lang w:val="fr-FR"/>
        </w:rPr>
      </w:pPr>
      <w:r w:rsidRPr="002C7603">
        <w:rPr>
          <w:lang w:val="fr-FR"/>
        </w:rPr>
        <w:t xml:space="preserve">© </w:t>
      </w:r>
      <w:proofErr w:type="spellStart"/>
      <w:r w:rsidRPr="002C7603">
        <w:rPr>
          <w:lang w:val="fr-FR"/>
        </w:rPr>
        <w:t>União</w:t>
      </w:r>
      <w:proofErr w:type="spellEnd"/>
      <w:r w:rsidRPr="002C7603">
        <w:rPr>
          <w:lang w:val="fr-FR"/>
        </w:rPr>
        <w:t xml:space="preserve"> </w:t>
      </w:r>
      <w:proofErr w:type="spellStart"/>
      <w:r w:rsidRPr="002C7603">
        <w:rPr>
          <w:lang w:val="fr-FR"/>
        </w:rPr>
        <w:t>Europeia</w:t>
      </w:r>
      <w:proofErr w:type="spellEnd"/>
      <w:r>
        <w:rPr>
          <w:lang w:val="fr-FR"/>
        </w:rPr>
        <w:br/>
      </w:r>
      <w:proofErr w:type="spellStart"/>
      <w:r w:rsidRPr="002C7603">
        <w:rPr>
          <w:lang w:val="fr-FR"/>
        </w:rPr>
        <w:t>Esta</w:t>
      </w:r>
      <w:proofErr w:type="spellEnd"/>
      <w:r w:rsidRPr="002C7603">
        <w:rPr>
          <w:lang w:val="fr-FR"/>
        </w:rPr>
        <w:t xml:space="preserve"> </w:t>
      </w:r>
      <w:proofErr w:type="spellStart"/>
      <w:r w:rsidRPr="002C7603">
        <w:rPr>
          <w:lang w:val="fr-FR"/>
        </w:rPr>
        <w:t>publicação</w:t>
      </w:r>
      <w:proofErr w:type="spellEnd"/>
      <w:r w:rsidRPr="002C7603">
        <w:rPr>
          <w:lang w:val="fr-FR"/>
        </w:rPr>
        <w:t xml:space="preserve"> </w:t>
      </w:r>
      <w:proofErr w:type="spellStart"/>
      <w:r w:rsidRPr="002C7603">
        <w:rPr>
          <w:lang w:val="fr-FR"/>
        </w:rPr>
        <w:t>não</w:t>
      </w:r>
      <w:proofErr w:type="spellEnd"/>
      <w:r w:rsidRPr="002C7603">
        <w:rPr>
          <w:lang w:val="fr-FR"/>
        </w:rPr>
        <w:t xml:space="preserve"> </w:t>
      </w:r>
      <w:proofErr w:type="spellStart"/>
      <w:r w:rsidRPr="002C7603">
        <w:rPr>
          <w:lang w:val="fr-FR"/>
        </w:rPr>
        <w:t>envolve</w:t>
      </w:r>
      <w:proofErr w:type="spellEnd"/>
      <w:r w:rsidRPr="002C7603">
        <w:rPr>
          <w:lang w:val="fr-FR"/>
        </w:rPr>
        <w:t xml:space="preserve"> a </w:t>
      </w:r>
      <w:proofErr w:type="spellStart"/>
      <w:r w:rsidRPr="002C7603">
        <w:rPr>
          <w:lang w:val="fr-FR"/>
        </w:rPr>
        <w:t>Comissão</w:t>
      </w:r>
      <w:proofErr w:type="spellEnd"/>
      <w:r w:rsidRPr="002C7603">
        <w:rPr>
          <w:lang w:val="fr-FR"/>
        </w:rPr>
        <w:t xml:space="preserve"> </w:t>
      </w:r>
      <w:proofErr w:type="spellStart"/>
      <w:r w:rsidRPr="002C7603">
        <w:rPr>
          <w:lang w:val="fr-FR"/>
        </w:rPr>
        <w:t>Europeia</w:t>
      </w:r>
      <w:proofErr w:type="spellEnd"/>
      <w:r w:rsidRPr="002C7603">
        <w:rPr>
          <w:lang w:val="fr-FR"/>
        </w:rPr>
        <w:t xml:space="preserve"> </w:t>
      </w:r>
      <w:proofErr w:type="spellStart"/>
      <w:r w:rsidRPr="002C7603">
        <w:rPr>
          <w:lang w:val="fr-FR"/>
        </w:rPr>
        <w:t>em</w:t>
      </w:r>
      <w:proofErr w:type="spellEnd"/>
      <w:r w:rsidRPr="002C7603">
        <w:rPr>
          <w:lang w:val="fr-FR"/>
        </w:rPr>
        <w:t xml:space="preserve"> </w:t>
      </w:r>
      <w:proofErr w:type="spellStart"/>
      <w:r w:rsidRPr="002C7603">
        <w:rPr>
          <w:lang w:val="fr-FR"/>
        </w:rPr>
        <w:t>nenhum</w:t>
      </w:r>
      <w:proofErr w:type="spellEnd"/>
      <w:r w:rsidRPr="002C7603">
        <w:rPr>
          <w:lang w:val="fr-FR"/>
        </w:rPr>
        <w:t xml:space="preserve"> </w:t>
      </w:r>
      <w:proofErr w:type="spellStart"/>
      <w:r w:rsidRPr="002C7603">
        <w:rPr>
          <w:lang w:val="fr-FR"/>
        </w:rPr>
        <w:t>tipo</w:t>
      </w:r>
      <w:proofErr w:type="spellEnd"/>
      <w:r w:rsidRPr="002C7603">
        <w:rPr>
          <w:lang w:val="fr-FR"/>
        </w:rPr>
        <w:t xml:space="preserve"> de </w:t>
      </w:r>
      <w:proofErr w:type="spellStart"/>
      <w:r w:rsidRPr="002C7603">
        <w:rPr>
          <w:lang w:val="fr-FR"/>
        </w:rPr>
        <w:t>responsabilidade</w:t>
      </w:r>
      <w:proofErr w:type="spellEnd"/>
      <w:r w:rsidRPr="002C7603">
        <w:rPr>
          <w:lang w:val="fr-FR"/>
        </w:rPr>
        <w:t>.</w:t>
      </w:r>
    </w:p>
    <w:p w14:paraId="4891EC5A" w14:textId="77777777" w:rsidR="00C0096B" w:rsidRPr="002C7603" w:rsidRDefault="00AC7A60">
      <w:pPr>
        <w:jc w:val="left"/>
        <w:rPr>
          <w:lang w:val="fr-FR"/>
        </w:rPr>
      </w:pPr>
      <w:r>
        <w:rPr>
          <w:rFonts w:cs="Calibri"/>
          <w:i/>
          <w:noProof/>
          <w:lang w:val="pt-PT"/>
        </w:rPr>
        <w:drawing>
          <wp:anchor distT="0" distB="0" distL="114300" distR="114300" simplePos="0" relativeHeight="251663360" behindDoc="1" locked="0" layoutInCell="1" allowOverlap="1" wp14:anchorId="450217CD" wp14:editId="7C57FEC4">
            <wp:simplePos x="0" y="0"/>
            <wp:positionH relativeFrom="margin">
              <wp:posOffset>45720</wp:posOffset>
            </wp:positionH>
            <wp:positionV relativeFrom="paragraph">
              <wp:posOffset>284480</wp:posOffset>
            </wp:positionV>
            <wp:extent cx="8338185" cy="8304530"/>
            <wp:effectExtent l="0" t="0" r="5715" b="127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185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51B4E" w14:textId="77777777" w:rsidR="00C0096B" w:rsidRPr="002C7603" w:rsidRDefault="00C0096B">
      <w:pPr>
        <w:jc w:val="left"/>
        <w:rPr>
          <w:lang w:val="fr-FR"/>
        </w:rPr>
      </w:pPr>
    </w:p>
    <w:p w14:paraId="27953450" w14:textId="77777777" w:rsidR="00C0096B" w:rsidRPr="002C7603" w:rsidRDefault="00C0096B">
      <w:pPr>
        <w:jc w:val="left"/>
        <w:rPr>
          <w:lang w:val="fr-FR"/>
        </w:rPr>
      </w:pPr>
    </w:p>
    <w:p w14:paraId="2204A4A6" w14:textId="77777777" w:rsidR="00C0096B" w:rsidRPr="002C7603" w:rsidRDefault="00C0096B">
      <w:pPr>
        <w:jc w:val="left"/>
        <w:rPr>
          <w:lang w:val="fr-FR"/>
        </w:rPr>
      </w:pPr>
    </w:p>
    <w:p w14:paraId="272D4800" w14:textId="77777777" w:rsidR="00C0096B" w:rsidRPr="002C7603" w:rsidRDefault="00C0096B">
      <w:pPr>
        <w:jc w:val="left"/>
        <w:rPr>
          <w:lang w:val="fr-FR"/>
        </w:rPr>
      </w:pPr>
    </w:p>
    <w:p w14:paraId="0F2FFDB9" w14:textId="77777777" w:rsidR="00C0096B" w:rsidRPr="002C7603" w:rsidRDefault="00C0096B">
      <w:pPr>
        <w:ind w:left="1440" w:right="153"/>
        <w:jc w:val="left"/>
        <w:rPr>
          <w:lang w:val="fr-FR"/>
        </w:rPr>
      </w:pPr>
    </w:p>
    <w:p w14:paraId="3F254DE4" w14:textId="77777777" w:rsidR="00C0096B" w:rsidRPr="002C7603" w:rsidRDefault="00C0096B">
      <w:pPr>
        <w:ind w:left="1440" w:right="153"/>
        <w:jc w:val="left"/>
        <w:rPr>
          <w:lang w:val="fr-FR"/>
        </w:rPr>
      </w:pPr>
    </w:p>
    <w:p w14:paraId="1529F9B3" w14:textId="77777777" w:rsidR="00C0096B" w:rsidRPr="002C7603" w:rsidRDefault="00C0096B">
      <w:pPr>
        <w:ind w:left="1440" w:right="153"/>
        <w:jc w:val="left"/>
        <w:rPr>
          <w:lang w:val="fr-FR"/>
        </w:rPr>
      </w:pPr>
    </w:p>
    <w:p w14:paraId="065D01A7" w14:textId="77777777" w:rsidR="00C0096B" w:rsidRPr="002C7603" w:rsidRDefault="00C0096B">
      <w:pPr>
        <w:ind w:left="1440" w:right="153"/>
        <w:jc w:val="left"/>
        <w:rPr>
          <w:lang w:val="fr-FR"/>
        </w:rPr>
      </w:pPr>
    </w:p>
    <w:p w14:paraId="39150AEE" w14:textId="77777777" w:rsidR="00C0096B" w:rsidRPr="002C7603" w:rsidRDefault="00C0096B">
      <w:pPr>
        <w:jc w:val="left"/>
        <w:rPr>
          <w:lang w:val="fr-FR"/>
        </w:rPr>
      </w:pPr>
    </w:p>
    <w:p w14:paraId="77512D31" w14:textId="77777777" w:rsidR="00C0096B" w:rsidRPr="002C7603" w:rsidRDefault="00C0096B">
      <w:pPr>
        <w:jc w:val="left"/>
        <w:rPr>
          <w:lang w:val="fr-FR"/>
        </w:rPr>
      </w:pPr>
    </w:p>
    <w:p w14:paraId="003F9DC0" w14:textId="77777777" w:rsidR="00C0096B" w:rsidRPr="002C7603" w:rsidRDefault="00C0096B">
      <w:pPr>
        <w:jc w:val="left"/>
        <w:rPr>
          <w:lang w:val="fr-FR"/>
        </w:rPr>
      </w:pPr>
    </w:p>
    <w:sectPr w:rsidR="00C0096B" w:rsidRPr="002C7603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3773F" w14:textId="77777777" w:rsidR="001D226C" w:rsidRDefault="001D226C">
      <w:pPr>
        <w:spacing w:after="0" w:line="240" w:lineRule="auto"/>
      </w:pPr>
      <w:r>
        <w:separator/>
      </w:r>
    </w:p>
  </w:endnote>
  <w:endnote w:type="continuationSeparator" w:id="0">
    <w:p w14:paraId="53D8CA34" w14:textId="77777777" w:rsidR="001D226C" w:rsidRDefault="001D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formative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457387"/>
    </w:sdtPr>
    <w:sdtEndPr/>
    <w:sdtContent>
      <w:p w14:paraId="29C534B6" w14:textId="77777777" w:rsidR="00C0096B" w:rsidRDefault="00AC7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3EC6F" w14:textId="77777777" w:rsidR="00C0096B" w:rsidRDefault="00C00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368303"/>
    </w:sdtPr>
    <w:sdtEndPr/>
    <w:sdtContent>
      <w:p w14:paraId="13C6AA8C" w14:textId="77777777" w:rsidR="00C0096B" w:rsidRDefault="00AC7A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96B8A" w14:textId="77777777" w:rsidR="00C0096B" w:rsidRDefault="00C0096B">
    <w:pPr>
      <w:ind w:right="153"/>
      <w:rPr>
        <w:rFonts w:cstheme="minorHAnsi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04122" w14:textId="77777777" w:rsidR="001D226C" w:rsidRDefault="001D226C">
      <w:pPr>
        <w:spacing w:after="0" w:line="240" w:lineRule="auto"/>
      </w:pPr>
      <w:r>
        <w:separator/>
      </w:r>
    </w:p>
  </w:footnote>
  <w:footnote w:type="continuationSeparator" w:id="0">
    <w:p w14:paraId="0E7F41C7" w14:textId="77777777" w:rsidR="001D226C" w:rsidRDefault="001D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BFB6" w14:textId="77777777" w:rsidR="00C0096B" w:rsidRDefault="00AC7A60">
    <w:pPr>
      <w:pStyle w:val="Header"/>
      <w:rPr>
        <w:lang w:val="pt-PT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76D9060" wp14:editId="7148A729">
          <wp:simplePos x="0" y="0"/>
          <wp:positionH relativeFrom="margin">
            <wp:posOffset>4373880</wp:posOffset>
          </wp:positionH>
          <wp:positionV relativeFrom="paragraph">
            <wp:posOffset>-106680</wp:posOffset>
          </wp:positionV>
          <wp:extent cx="1379220" cy="365125"/>
          <wp:effectExtent l="0" t="0" r="0" b="0"/>
          <wp:wrapNone/>
          <wp:docPr id="3" name="Grafi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8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64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PT"/>
      </w:rPr>
      <w:t>Modelo da Agenda de Transição para Energia Limpa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A791" w14:textId="77777777" w:rsidR="00C0096B" w:rsidRDefault="00C0096B">
    <w:pPr>
      <w:ind w:right="-5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F2DB" w14:textId="77777777" w:rsidR="00C0096B" w:rsidRDefault="00AC7A60">
    <w:pPr>
      <w:pStyle w:val="Header"/>
      <w:rPr>
        <w:lang w:val="pt-PT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B41CC81" wp14:editId="764F2709">
          <wp:simplePos x="0" y="0"/>
          <wp:positionH relativeFrom="margin">
            <wp:posOffset>4373880</wp:posOffset>
          </wp:positionH>
          <wp:positionV relativeFrom="paragraph">
            <wp:posOffset>-106680</wp:posOffset>
          </wp:positionV>
          <wp:extent cx="1379220" cy="365125"/>
          <wp:effectExtent l="0" t="0" r="0" b="0"/>
          <wp:wrapNone/>
          <wp:docPr id="6" name="Grafi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18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64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PT"/>
      </w:rPr>
      <w:t xml:space="preserve"> </w:t>
    </w:r>
    <w:r>
      <w:rPr>
        <w:lang w:val="pt-PT"/>
      </w:rPr>
      <w:t xml:space="preserve">Agenda de Transição para Energia Limpa da </w:t>
    </w:r>
    <w:r>
      <w:rPr>
        <w:highlight w:val="green"/>
        <w:lang w:val="pt-PT"/>
      </w:rPr>
      <w:t>[Ilha]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DD4"/>
    <w:multiLevelType w:val="multilevel"/>
    <w:tmpl w:val="05011DD4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3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30C"/>
    <w:multiLevelType w:val="multilevel"/>
    <w:tmpl w:val="0516530C"/>
    <w:lvl w:ilvl="0">
      <w:start w:val="1"/>
      <w:numFmt w:val="lowerLetter"/>
      <w:pStyle w:val="SubnumberList"/>
      <w:lvlText w:val="%1."/>
      <w:lvlJc w:val="left"/>
      <w:pPr>
        <w:ind w:left="108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63EFB"/>
    <w:multiLevelType w:val="multilevel"/>
    <w:tmpl w:val="1BB63EFB"/>
    <w:lvl w:ilvl="0">
      <w:start w:val="1"/>
      <w:numFmt w:val="decimal"/>
      <w:pStyle w:val="Header4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  <w:i w:val="0"/>
        <w:iCs w:val="0"/>
        <w:caps w:val="0"/>
        <w:strike w:val="0"/>
        <w:dstrike w:val="0"/>
        <w:vanish w:val="0"/>
        <w:color w:val="9BC31A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7B09"/>
    <w:multiLevelType w:val="multilevel"/>
    <w:tmpl w:val="372A7B09"/>
    <w:lvl w:ilvl="0">
      <w:start w:val="1"/>
      <w:numFmt w:val="decimal"/>
      <w:pStyle w:val="NumberList"/>
      <w:lvlText w:val="%1."/>
      <w:lvlJc w:val="left"/>
      <w:pPr>
        <w:ind w:left="502" w:hanging="360"/>
      </w:pPr>
      <w:rPr>
        <w:rFonts w:ascii="Century Gothic" w:hAnsi="Century Gothic" w:hint="default"/>
        <w:b w:val="0"/>
        <w:i w:val="0"/>
        <w:color w:val="2F5496" w:themeColor="accent1" w:themeShade="B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2B23"/>
    <w:multiLevelType w:val="multilevel"/>
    <w:tmpl w:val="40652B23"/>
    <w:lvl w:ilvl="0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07ECB"/>
    <w:multiLevelType w:val="multilevel"/>
    <w:tmpl w:val="47F07ECB"/>
    <w:lvl w:ilvl="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2210B"/>
    <w:multiLevelType w:val="multilevel"/>
    <w:tmpl w:val="4F72210B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2C5B"/>
    <w:multiLevelType w:val="multilevel"/>
    <w:tmpl w:val="6C9E2C5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1912"/>
    <w:multiLevelType w:val="singleLevel"/>
    <w:tmpl w:val="6E381912"/>
    <w:lvl w:ilvl="0">
      <w:start w:val="1"/>
      <w:numFmt w:val="decimal"/>
      <w:pStyle w:val="TableNumber"/>
      <w:lvlText w:val="%1."/>
      <w:lvlJc w:val="left"/>
      <w:pPr>
        <w:tabs>
          <w:tab w:val="left" w:pos="360"/>
        </w:tabs>
        <w:ind w:left="284" w:hanging="284"/>
      </w:pPr>
    </w:lvl>
  </w:abstractNum>
  <w:abstractNum w:abstractNumId="9" w15:restartNumberingAfterBreak="0">
    <w:nsid w:val="74EB2A43"/>
    <w:multiLevelType w:val="multilevel"/>
    <w:tmpl w:val="74EB2A43"/>
    <w:lvl w:ilvl="0">
      <w:start w:val="14"/>
      <w:numFmt w:val="bullet"/>
      <w:pStyle w:val="3EBulletLis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2669"/>
    <w:multiLevelType w:val="multilevel"/>
    <w:tmpl w:val="75F62669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910C0"/>
    <w:multiLevelType w:val="multilevel"/>
    <w:tmpl w:val="79191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66952"/>
    <w:multiLevelType w:val="multilevel"/>
    <w:tmpl w:val="7C366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0"/>
    <w:lvlOverride w:ilvl="1">
      <w:startOverride w:val="1"/>
    </w:lvlOverride>
  </w:num>
  <w:num w:numId="10">
    <w:abstractNumId w:val="12"/>
  </w:num>
  <w:num w:numId="11">
    <w:abstractNumId w:val="11"/>
  </w:num>
  <w:num w:numId="12">
    <w:abstractNumId w:val="0"/>
    <w:lvlOverride w:ilvl="0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A5"/>
    <w:rsid w:val="00001D54"/>
    <w:rsid w:val="00025B6E"/>
    <w:rsid w:val="0004179D"/>
    <w:rsid w:val="00054A9B"/>
    <w:rsid w:val="00072BC9"/>
    <w:rsid w:val="0008100F"/>
    <w:rsid w:val="00082D87"/>
    <w:rsid w:val="00085CE3"/>
    <w:rsid w:val="00086597"/>
    <w:rsid w:val="00090F32"/>
    <w:rsid w:val="0009375D"/>
    <w:rsid w:val="000A76F5"/>
    <w:rsid w:val="000B1878"/>
    <w:rsid w:val="000C7BE1"/>
    <w:rsid w:val="000D0BB0"/>
    <w:rsid w:val="000E0D2E"/>
    <w:rsid w:val="00106D24"/>
    <w:rsid w:val="00117967"/>
    <w:rsid w:val="00117C7B"/>
    <w:rsid w:val="00122E9E"/>
    <w:rsid w:val="00124566"/>
    <w:rsid w:val="00131C16"/>
    <w:rsid w:val="00176B72"/>
    <w:rsid w:val="00186A7A"/>
    <w:rsid w:val="001A069C"/>
    <w:rsid w:val="001B38A4"/>
    <w:rsid w:val="001C46B1"/>
    <w:rsid w:val="001C6819"/>
    <w:rsid w:val="001D1EC9"/>
    <w:rsid w:val="001D226C"/>
    <w:rsid w:val="001D2A78"/>
    <w:rsid w:val="001D6356"/>
    <w:rsid w:val="001E39B5"/>
    <w:rsid w:val="001F0D61"/>
    <w:rsid w:val="001F5FE3"/>
    <w:rsid w:val="002036F3"/>
    <w:rsid w:val="00210B84"/>
    <w:rsid w:val="0023250B"/>
    <w:rsid w:val="002444C4"/>
    <w:rsid w:val="00254C6D"/>
    <w:rsid w:val="002633A5"/>
    <w:rsid w:val="00263B16"/>
    <w:rsid w:val="00297FA0"/>
    <w:rsid w:val="002A5EF3"/>
    <w:rsid w:val="002B1735"/>
    <w:rsid w:val="002B4D25"/>
    <w:rsid w:val="002C3BA8"/>
    <w:rsid w:val="002C55D8"/>
    <w:rsid w:val="002C7603"/>
    <w:rsid w:val="002E0A35"/>
    <w:rsid w:val="002E369F"/>
    <w:rsid w:val="002F03B7"/>
    <w:rsid w:val="002F5A96"/>
    <w:rsid w:val="003049F8"/>
    <w:rsid w:val="00306E97"/>
    <w:rsid w:val="00307A1F"/>
    <w:rsid w:val="00314EC3"/>
    <w:rsid w:val="0031532F"/>
    <w:rsid w:val="003203DB"/>
    <w:rsid w:val="003207D4"/>
    <w:rsid w:val="0032330B"/>
    <w:rsid w:val="00335879"/>
    <w:rsid w:val="00342167"/>
    <w:rsid w:val="00346B13"/>
    <w:rsid w:val="003557F3"/>
    <w:rsid w:val="00360B48"/>
    <w:rsid w:val="0036160C"/>
    <w:rsid w:val="00362980"/>
    <w:rsid w:val="00383CD3"/>
    <w:rsid w:val="003A584E"/>
    <w:rsid w:val="003C2004"/>
    <w:rsid w:val="003E1120"/>
    <w:rsid w:val="003E1405"/>
    <w:rsid w:val="003E3302"/>
    <w:rsid w:val="003E48F4"/>
    <w:rsid w:val="0040368E"/>
    <w:rsid w:val="00412C2C"/>
    <w:rsid w:val="00431AC6"/>
    <w:rsid w:val="00434A6E"/>
    <w:rsid w:val="0045101B"/>
    <w:rsid w:val="0045133A"/>
    <w:rsid w:val="004526B3"/>
    <w:rsid w:val="00453678"/>
    <w:rsid w:val="00462A24"/>
    <w:rsid w:val="004646D0"/>
    <w:rsid w:val="00470A26"/>
    <w:rsid w:val="00492037"/>
    <w:rsid w:val="00492DB2"/>
    <w:rsid w:val="004A28A6"/>
    <w:rsid w:val="004A4459"/>
    <w:rsid w:val="004A7F76"/>
    <w:rsid w:val="004B2D69"/>
    <w:rsid w:val="004C7A8F"/>
    <w:rsid w:val="004D094E"/>
    <w:rsid w:val="004F3E02"/>
    <w:rsid w:val="004F684B"/>
    <w:rsid w:val="005038FF"/>
    <w:rsid w:val="00507C4F"/>
    <w:rsid w:val="0051232F"/>
    <w:rsid w:val="00541C7F"/>
    <w:rsid w:val="00542C59"/>
    <w:rsid w:val="00563B95"/>
    <w:rsid w:val="0056495A"/>
    <w:rsid w:val="00574F3A"/>
    <w:rsid w:val="00575BD3"/>
    <w:rsid w:val="005914E5"/>
    <w:rsid w:val="005A5A4E"/>
    <w:rsid w:val="005B5535"/>
    <w:rsid w:val="005B5CFB"/>
    <w:rsid w:val="005C5A53"/>
    <w:rsid w:val="005D5CFC"/>
    <w:rsid w:val="005E1A63"/>
    <w:rsid w:val="00604427"/>
    <w:rsid w:val="00613683"/>
    <w:rsid w:val="00620A14"/>
    <w:rsid w:val="006258AC"/>
    <w:rsid w:val="00640263"/>
    <w:rsid w:val="0065286F"/>
    <w:rsid w:val="006864DA"/>
    <w:rsid w:val="00690D1F"/>
    <w:rsid w:val="00695C3C"/>
    <w:rsid w:val="00697298"/>
    <w:rsid w:val="006A2C15"/>
    <w:rsid w:val="006A493B"/>
    <w:rsid w:val="006A73AE"/>
    <w:rsid w:val="006B0505"/>
    <w:rsid w:val="006B069B"/>
    <w:rsid w:val="006B2135"/>
    <w:rsid w:val="006C0F82"/>
    <w:rsid w:val="006D0616"/>
    <w:rsid w:val="006D128D"/>
    <w:rsid w:val="006D500B"/>
    <w:rsid w:val="006D7C10"/>
    <w:rsid w:val="006E051F"/>
    <w:rsid w:val="006E38C2"/>
    <w:rsid w:val="006E5A84"/>
    <w:rsid w:val="006F4CFA"/>
    <w:rsid w:val="00707645"/>
    <w:rsid w:val="00720EFC"/>
    <w:rsid w:val="00734441"/>
    <w:rsid w:val="0074062E"/>
    <w:rsid w:val="007424CC"/>
    <w:rsid w:val="0074691D"/>
    <w:rsid w:val="007552AB"/>
    <w:rsid w:val="00757416"/>
    <w:rsid w:val="0077162D"/>
    <w:rsid w:val="00777875"/>
    <w:rsid w:val="00797FDF"/>
    <w:rsid w:val="007A747A"/>
    <w:rsid w:val="007B1CF2"/>
    <w:rsid w:val="007C0DC3"/>
    <w:rsid w:val="007C363A"/>
    <w:rsid w:val="007C7E66"/>
    <w:rsid w:val="007D1C24"/>
    <w:rsid w:val="007F113B"/>
    <w:rsid w:val="007F1C32"/>
    <w:rsid w:val="00824165"/>
    <w:rsid w:val="00824270"/>
    <w:rsid w:val="0082642C"/>
    <w:rsid w:val="0082787F"/>
    <w:rsid w:val="0084093E"/>
    <w:rsid w:val="00844244"/>
    <w:rsid w:val="00854FA5"/>
    <w:rsid w:val="0086695C"/>
    <w:rsid w:val="00870D34"/>
    <w:rsid w:val="0088585C"/>
    <w:rsid w:val="00895EE4"/>
    <w:rsid w:val="008A4DC8"/>
    <w:rsid w:val="008B662F"/>
    <w:rsid w:val="008C6D0F"/>
    <w:rsid w:val="008D281C"/>
    <w:rsid w:val="00912594"/>
    <w:rsid w:val="00913020"/>
    <w:rsid w:val="0093648B"/>
    <w:rsid w:val="00950005"/>
    <w:rsid w:val="0095378D"/>
    <w:rsid w:val="00956819"/>
    <w:rsid w:val="009642D9"/>
    <w:rsid w:val="00964ACC"/>
    <w:rsid w:val="0097684D"/>
    <w:rsid w:val="00980E3C"/>
    <w:rsid w:val="00994FCB"/>
    <w:rsid w:val="0099517B"/>
    <w:rsid w:val="009A7656"/>
    <w:rsid w:val="009B1156"/>
    <w:rsid w:val="009C10F5"/>
    <w:rsid w:val="009D154A"/>
    <w:rsid w:val="009D6EEC"/>
    <w:rsid w:val="009E5359"/>
    <w:rsid w:val="009F46BF"/>
    <w:rsid w:val="009F6D7B"/>
    <w:rsid w:val="00A01F1C"/>
    <w:rsid w:val="00A0452D"/>
    <w:rsid w:val="00A14E82"/>
    <w:rsid w:val="00A253C2"/>
    <w:rsid w:val="00A31D69"/>
    <w:rsid w:val="00A34DD4"/>
    <w:rsid w:val="00A43EE8"/>
    <w:rsid w:val="00A44284"/>
    <w:rsid w:val="00A45C72"/>
    <w:rsid w:val="00A46722"/>
    <w:rsid w:val="00A624D9"/>
    <w:rsid w:val="00A74F53"/>
    <w:rsid w:val="00A83528"/>
    <w:rsid w:val="00A83EEB"/>
    <w:rsid w:val="00A95656"/>
    <w:rsid w:val="00AA1235"/>
    <w:rsid w:val="00AA7CEB"/>
    <w:rsid w:val="00AB2D70"/>
    <w:rsid w:val="00AC7A60"/>
    <w:rsid w:val="00AE343A"/>
    <w:rsid w:val="00AE4D32"/>
    <w:rsid w:val="00AE50C6"/>
    <w:rsid w:val="00B01360"/>
    <w:rsid w:val="00B10771"/>
    <w:rsid w:val="00B16442"/>
    <w:rsid w:val="00B20725"/>
    <w:rsid w:val="00B23E66"/>
    <w:rsid w:val="00B253FA"/>
    <w:rsid w:val="00B33CAE"/>
    <w:rsid w:val="00B342FA"/>
    <w:rsid w:val="00B36905"/>
    <w:rsid w:val="00B36BA0"/>
    <w:rsid w:val="00B50B76"/>
    <w:rsid w:val="00B553D4"/>
    <w:rsid w:val="00B6254F"/>
    <w:rsid w:val="00B631E3"/>
    <w:rsid w:val="00B64140"/>
    <w:rsid w:val="00B644AE"/>
    <w:rsid w:val="00B73FBD"/>
    <w:rsid w:val="00B82DD6"/>
    <w:rsid w:val="00B86F22"/>
    <w:rsid w:val="00B9108F"/>
    <w:rsid w:val="00B923B0"/>
    <w:rsid w:val="00B9253A"/>
    <w:rsid w:val="00B9336E"/>
    <w:rsid w:val="00B9513E"/>
    <w:rsid w:val="00B95291"/>
    <w:rsid w:val="00B975EC"/>
    <w:rsid w:val="00BB576E"/>
    <w:rsid w:val="00BB7A83"/>
    <w:rsid w:val="00BC6A85"/>
    <w:rsid w:val="00BD38BD"/>
    <w:rsid w:val="00BD3FFA"/>
    <w:rsid w:val="00BD5022"/>
    <w:rsid w:val="00BE77B0"/>
    <w:rsid w:val="00BF140A"/>
    <w:rsid w:val="00BF5676"/>
    <w:rsid w:val="00BF79B1"/>
    <w:rsid w:val="00C0096B"/>
    <w:rsid w:val="00C10B94"/>
    <w:rsid w:val="00C2466D"/>
    <w:rsid w:val="00C36A96"/>
    <w:rsid w:val="00C4734C"/>
    <w:rsid w:val="00C52ED4"/>
    <w:rsid w:val="00C64DBE"/>
    <w:rsid w:val="00C7159F"/>
    <w:rsid w:val="00C76112"/>
    <w:rsid w:val="00C86362"/>
    <w:rsid w:val="00CC2519"/>
    <w:rsid w:val="00CC42D7"/>
    <w:rsid w:val="00CD21B1"/>
    <w:rsid w:val="00CD62FA"/>
    <w:rsid w:val="00CE1076"/>
    <w:rsid w:val="00D0183F"/>
    <w:rsid w:val="00D024FD"/>
    <w:rsid w:val="00D047A5"/>
    <w:rsid w:val="00D24E1E"/>
    <w:rsid w:val="00D2664F"/>
    <w:rsid w:val="00D31087"/>
    <w:rsid w:val="00D378B3"/>
    <w:rsid w:val="00D51D31"/>
    <w:rsid w:val="00D51ED0"/>
    <w:rsid w:val="00D60C9A"/>
    <w:rsid w:val="00D646A2"/>
    <w:rsid w:val="00D72AC8"/>
    <w:rsid w:val="00D72E56"/>
    <w:rsid w:val="00D75A98"/>
    <w:rsid w:val="00D83EDE"/>
    <w:rsid w:val="00D87F1F"/>
    <w:rsid w:val="00DA2376"/>
    <w:rsid w:val="00DA2788"/>
    <w:rsid w:val="00DA57B8"/>
    <w:rsid w:val="00DB2AD2"/>
    <w:rsid w:val="00DB5563"/>
    <w:rsid w:val="00DC13EE"/>
    <w:rsid w:val="00DC177F"/>
    <w:rsid w:val="00DC67A5"/>
    <w:rsid w:val="00DC6A5F"/>
    <w:rsid w:val="00DC710C"/>
    <w:rsid w:val="00DD12D1"/>
    <w:rsid w:val="00DE00A1"/>
    <w:rsid w:val="00DE78CE"/>
    <w:rsid w:val="00DF1CA8"/>
    <w:rsid w:val="00DF4B60"/>
    <w:rsid w:val="00DF6863"/>
    <w:rsid w:val="00E025B0"/>
    <w:rsid w:val="00E02763"/>
    <w:rsid w:val="00E05420"/>
    <w:rsid w:val="00E142D0"/>
    <w:rsid w:val="00E15B46"/>
    <w:rsid w:val="00E469B6"/>
    <w:rsid w:val="00E46A90"/>
    <w:rsid w:val="00E53723"/>
    <w:rsid w:val="00E57ABB"/>
    <w:rsid w:val="00E70D7B"/>
    <w:rsid w:val="00E85658"/>
    <w:rsid w:val="00E87DCB"/>
    <w:rsid w:val="00E955C5"/>
    <w:rsid w:val="00E95EB2"/>
    <w:rsid w:val="00EC2408"/>
    <w:rsid w:val="00EC68CA"/>
    <w:rsid w:val="00EF3766"/>
    <w:rsid w:val="00F01F68"/>
    <w:rsid w:val="00F02E8D"/>
    <w:rsid w:val="00F11128"/>
    <w:rsid w:val="00F26D90"/>
    <w:rsid w:val="00F27D9B"/>
    <w:rsid w:val="00F34F93"/>
    <w:rsid w:val="00F40752"/>
    <w:rsid w:val="00F46048"/>
    <w:rsid w:val="00F471DB"/>
    <w:rsid w:val="00F52EED"/>
    <w:rsid w:val="00F70F8A"/>
    <w:rsid w:val="00F71138"/>
    <w:rsid w:val="00F73EEB"/>
    <w:rsid w:val="00F85200"/>
    <w:rsid w:val="00F900AB"/>
    <w:rsid w:val="00F95574"/>
    <w:rsid w:val="00FA25BF"/>
    <w:rsid w:val="00FB180C"/>
    <w:rsid w:val="00FB272D"/>
    <w:rsid w:val="00FC3E23"/>
    <w:rsid w:val="00FC447D"/>
    <w:rsid w:val="00FD1354"/>
    <w:rsid w:val="00FF7B5E"/>
    <w:rsid w:val="068F6F90"/>
    <w:rsid w:val="60C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16E698C"/>
  <w15:docId w15:val="{48D5C1F3-54A1-415F-B5C8-CB48E827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unhideWhenUsed="1" w:qFormat="1"/>
    <w:lsdException w:name="heading 3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both"/>
    </w:pPr>
    <w:rPr>
      <w:rFonts w:ascii="Century Gothic" w:hAnsi="Century Gothic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00" w:after="400"/>
      <w:outlineLvl w:val="0"/>
    </w:pPr>
    <w:rPr>
      <w:rFonts w:eastAsiaTheme="majorEastAsia" w:cstheme="majorBidi"/>
      <w:b/>
      <w:color w:val="FFC0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numId w:val="1"/>
      </w:numPr>
      <w:spacing w:before="40" w:after="240"/>
      <w:outlineLvl w:val="1"/>
    </w:pPr>
    <w:rPr>
      <w:rFonts w:eastAsiaTheme="majorEastAsia" w:cstheme="majorBidi"/>
      <w:b/>
      <w:color w:val="FFC000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120" w:after="120"/>
      <w:outlineLvl w:val="2"/>
    </w:pPr>
    <w:rPr>
      <w:rFonts w:eastAsiaTheme="majorEastAsia" w:cstheme="majorBidi"/>
      <w:b/>
      <w:color w:val="222A35" w:themeColor="text2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Cs w:val="20"/>
    </w:rPr>
  </w:style>
  <w:style w:type="paragraph" w:styleId="Caption">
    <w:name w:val="caption"/>
    <w:basedOn w:val="Normal"/>
    <w:next w:val="Normal"/>
    <w:link w:val="CaptionChar"/>
    <w:uiPriority w:val="3"/>
    <w:qFormat/>
    <w:pPr>
      <w:spacing w:after="200" w:line="240" w:lineRule="auto"/>
    </w:pPr>
    <w:rPr>
      <w:rFonts w:eastAsia="Calibri" w:cs="Times New Roman"/>
      <w:iCs/>
      <w:sz w:val="18"/>
      <w:szCs w:val="18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Cs w:val="20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16"/>
      </w:tabs>
      <w:spacing w:after="100"/>
      <w:ind w:left="400"/>
    </w:pPr>
    <w:rPr>
      <w:color w:val="222A35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00"/>
    </w:pPr>
  </w:style>
  <w:style w:type="paragraph" w:styleId="NormalWeb">
    <w:name w:val="Normal (Web)"/>
    <w:basedOn w:val="Normal"/>
    <w:semiHidden/>
    <w:unhideWhenUsed/>
    <w:qFormat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95959" w:themeColor="text1" w:themeTint="A6"/>
      <w:spacing w:val="15"/>
    </w:rPr>
  </w:style>
  <w:style w:type="paragraph" w:styleId="Title">
    <w:name w:val="Title"/>
    <w:basedOn w:val="Normal"/>
    <w:next w:val="Normal"/>
    <w:link w:val="TitleChar"/>
    <w:uiPriority w:val="10"/>
    <w:pPr>
      <w:spacing w:after="0" w:line="240" w:lineRule="auto"/>
      <w:contextualSpacing/>
      <w:jc w:val="left"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styleId="Emphasis">
    <w:name w:val="Emphasis"/>
    <w:basedOn w:val="DefaultParagraphFont"/>
    <w:uiPriority w:val="20"/>
    <w:rPr>
      <w:rFonts w:ascii="Century Gothic" w:hAnsi="Century Gothic"/>
      <w:i/>
      <w:iCs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Pr>
      <w:rFonts w:ascii="Century Gothic" w:eastAsiaTheme="majorEastAsia" w:hAnsi="Century Gothic" w:cstheme="majorBidi"/>
      <w:b/>
      <w:spacing w:val="-10"/>
      <w:kern w:val="28"/>
      <w:sz w:val="10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entury Gothic" w:eastAsiaTheme="majorEastAsia" w:hAnsi="Century Gothic" w:cstheme="majorBidi"/>
      <w:b/>
      <w:color w:val="FFC000" w:themeColor="accent4"/>
      <w:sz w:val="40"/>
      <w:szCs w:val="32"/>
    </w:rPr>
  </w:style>
  <w:style w:type="paragraph" w:styleId="NoSpacing">
    <w:name w:val="No Spacing"/>
    <w:link w:val="NoSpacingChar"/>
    <w:uiPriority w:val="1"/>
    <w:pPr>
      <w:spacing w:after="0" w:line="240" w:lineRule="auto"/>
    </w:pPr>
    <w:rPr>
      <w:rFonts w:ascii="Century Gothic" w:eastAsiaTheme="minorEastAsia" w:hAnsi="Century Gothic"/>
      <w:i/>
      <w:color w:val="9BC31A"/>
      <w:sz w:val="18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entury Gothic" w:eastAsiaTheme="minorEastAsia" w:hAnsi="Century Gothic"/>
      <w:i/>
      <w:color w:val="9BC31A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entury Gothic" w:hAnsi="Century Gothic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entury Gothic" w:hAnsi="Century Gothic"/>
    </w:rPr>
  </w:style>
  <w:style w:type="paragraph" w:customStyle="1" w:styleId="TxtFooter">
    <w:name w:val="Txt Footer"/>
    <w:basedOn w:val="Normal"/>
    <w:pPr>
      <w:spacing w:after="0" w:line="312" w:lineRule="auto"/>
    </w:pPr>
    <w:rPr>
      <w:rFonts w:ascii="Open Sans" w:eastAsia="Arial" w:hAnsi="Open Sans" w:cs="Arial"/>
      <w:color w:val="A6A6A6"/>
      <w:sz w:val="14"/>
      <w:szCs w:val="18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entury Gothic" w:eastAsiaTheme="minorEastAsia" w:hAnsi="Century Gothic"/>
      <w:color w:val="595959" w:themeColor="text1" w:themeTint="A6"/>
      <w:spacing w:val="15"/>
      <w:sz w:val="20"/>
    </w:rPr>
  </w:style>
  <w:style w:type="character" w:customStyle="1" w:styleId="nfaseIntensa1">
    <w:name w:val="Ênfase Intensa1"/>
    <w:basedOn w:val="DefaultParagraphFont"/>
    <w:uiPriority w:val="21"/>
    <w:qFormat/>
    <w:rPr>
      <w:rFonts w:ascii="Century Gothic" w:hAnsi="Century Gothic"/>
      <w:b/>
      <w:i/>
      <w:iCs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Century Gothic" w:hAnsi="Century Gothic"/>
      <w:i/>
      <w:iCs/>
      <w:color w:val="404040" w:themeColor="text1" w:themeTint="BF"/>
      <w:sz w:val="20"/>
    </w:rPr>
  </w:style>
  <w:style w:type="paragraph" w:styleId="IntenseQuote">
    <w:name w:val="Intense Quote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2" w:right="862"/>
      <w:jc w:val="center"/>
    </w:pPr>
    <w:rPr>
      <w:rFonts w:ascii="Century Gothic" w:hAnsi="Century Gothic"/>
      <w:i/>
      <w:iCs/>
      <w:color w:val="3B3838" w:themeColor="background2" w:themeShade="40"/>
      <w:sz w:val="18"/>
      <w:szCs w:val="22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entury Gothic" w:hAnsi="Century Gothic"/>
      <w:i/>
      <w:iCs/>
      <w:color w:val="3B3838" w:themeColor="background2" w:themeShade="40"/>
      <w:sz w:val="18"/>
    </w:rPr>
  </w:style>
  <w:style w:type="character" w:customStyle="1" w:styleId="RefernciaIntensa1">
    <w:name w:val="Referência Intensa1"/>
    <w:basedOn w:val="DefaultParagraphFont"/>
    <w:uiPriority w:val="32"/>
    <w:rPr>
      <w:rFonts w:ascii="Century Gothic" w:hAnsi="Century Gothic"/>
      <w:b/>
      <w:bCs/>
      <w:smallCaps/>
      <w:color w:val="9BC31A"/>
      <w:spacing w:val="5"/>
      <w:sz w:val="18"/>
    </w:rPr>
  </w:style>
  <w:style w:type="character" w:customStyle="1" w:styleId="TtulodoLivro1">
    <w:name w:val="Título do Livro1"/>
    <w:basedOn w:val="DefaultParagraphFont"/>
    <w:uiPriority w:val="33"/>
    <w:rPr>
      <w:rFonts w:ascii="Century Gothic" w:hAnsi="Century Gothic"/>
      <w:b/>
      <w:bCs/>
      <w:i/>
      <w:iCs/>
      <w:spacing w:val="5"/>
      <w:sz w:val="20"/>
    </w:rPr>
  </w:style>
  <w:style w:type="character" w:customStyle="1" w:styleId="RefernciaDiscreta1">
    <w:name w:val="Referência Discreta1"/>
    <w:basedOn w:val="DefaultParagraphFont"/>
    <w:uiPriority w:val="31"/>
    <w:rPr>
      <w:rFonts w:ascii="Century Gothic" w:hAnsi="Century Gothic"/>
      <w:smallCaps/>
      <w:color w:val="595959" w:themeColor="text1" w:themeTint="A6"/>
      <w:sz w:val="20"/>
    </w:rPr>
  </w:style>
  <w:style w:type="character" w:customStyle="1" w:styleId="Heading2Char">
    <w:name w:val="Heading 2 Char"/>
    <w:basedOn w:val="DefaultParagraphFont"/>
    <w:link w:val="Heading2"/>
    <w:uiPriority w:val="4"/>
    <w:qFormat/>
    <w:rPr>
      <w:rFonts w:ascii="Century Gothic" w:eastAsiaTheme="majorEastAsia" w:hAnsi="Century Gothic" w:cstheme="majorBidi"/>
      <w:b/>
      <w:color w:val="FFC000" w:themeColor="accent4"/>
      <w:sz w:val="32"/>
      <w:szCs w:val="26"/>
    </w:rPr>
  </w:style>
  <w:style w:type="paragraph" w:customStyle="1" w:styleId="TableofContents">
    <w:name w:val="Table of Contents"/>
    <w:basedOn w:val="Normal"/>
    <w:link w:val="TableofContentsChar"/>
    <w:qFormat/>
    <w:pPr>
      <w:spacing w:after="200"/>
    </w:pPr>
    <w:rPr>
      <w:b/>
      <w:color w:val="9BC31A"/>
      <w:sz w:val="28"/>
      <w:lang w:val="fr-FR"/>
    </w:rPr>
  </w:style>
  <w:style w:type="paragraph" w:customStyle="1" w:styleId="BulletList">
    <w:name w:val="Bullet List"/>
    <w:basedOn w:val="Normal"/>
    <w:link w:val="BulletListChar"/>
    <w:qFormat/>
    <w:pPr>
      <w:framePr w:wrap="around" w:vAnchor="text" w:hAnchor="text" w:y="1"/>
      <w:numPr>
        <w:numId w:val="2"/>
      </w:numPr>
      <w:spacing w:before="160"/>
    </w:pPr>
    <w:rPr>
      <w:color w:val="000000" w:themeColor="text1"/>
      <w:lang w:val="fr-FR"/>
    </w:rPr>
  </w:style>
  <w:style w:type="character" w:customStyle="1" w:styleId="TableofContentsChar">
    <w:name w:val="Table of Contents Char"/>
    <w:basedOn w:val="DefaultParagraphFont"/>
    <w:link w:val="TableofContents"/>
    <w:qFormat/>
    <w:rPr>
      <w:rFonts w:ascii="Century Gothic" w:hAnsi="Century Gothic"/>
      <w:b/>
      <w:color w:val="9BC31A"/>
      <w:sz w:val="28"/>
      <w:lang w:val="fr-FR"/>
    </w:rPr>
  </w:style>
  <w:style w:type="paragraph" w:customStyle="1" w:styleId="AnnexHeader">
    <w:name w:val="Annex Header"/>
    <w:basedOn w:val="Heading1"/>
    <w:link w:val="AnnexHeaderChar"/>
    <w:qFormat/>
    <w:pPr>
      <w:ind w:left="714" w:hanging="357"/>
    </w:pPr>
    <w:rPr>
      <w:sz w:val="20"/>
      <w:lang w:val="fr-FR"/>
    </w:rPr>
  </w:style>
  <w:style w:type="character" w:customStyle="1" w:styleId="BulletListChar">
    <w:name w:val="Bullet List Char"/>
    <w:basedOn w:val="TableofContentsChar"/>
    <w:link w:val="BulletList"/>
    <w:rPr>
      <w:rFonts w:ascii="Century Gothic" w:hAnsi="Century Gothic"/>
      <w:b w:val="0"/>
      <w:color w:val="000000" w:themeColor="text1"/>
      <w:sz w:val="20"/>
      <w:lang w:val="fr-FR"/>
    </w:rPr>
  </w:style>
  <w:style w:type="paragraph" w:customStyle="1" w:styleId="AnnexHead">
    <w:name w:val="Annex Head"/>
    <w:basedOn w:val="Heading1"/>
    <w:link w:val="AnnexHeadChar"/>
    <w:qFormat/>
  </w:style>
  <w:style w:type="character" w:customStyle="1" w:styleId="AnnexHeaderChar">
    <w:name w:val="Annex Header Char"/>
    <w:basedOn w:val="BulletListChar"/>
    <w:link w:val="AnnexHeader"/>
    <w:rPr>
      <w:rFonts w:ascii="Century Gothic" w:eastAsiaTheme="majorEastAsia" w:hAnsi="Century Gothic" w:cstheme="majorBidi"/>
      <w:b/>
      <w:color w:val="FFC000" w:themeColor="accent4"/>
      <w:sz w:val="20"/>
      <w:szCs w:val="32"/>
      <w:lang w:val="fr-FR"/>
    </w:rPr>
  </w:style>
  <w:style w:type="paragraph" w:customStyle="1" w:styleId="TableCaption">
    <w:name w:val="Table Caption"/>
    <w:basedOn w:val="Normal"/>
    <w:link w:val="TableCaptionChar"/>
    <w:qFormat/>
    <w:pPr>
      <w:jc w:val="right"/>
    </w:pPr>
    <w:rPr>
      <w:i/>
      <w:color w:val="767171" w:themeColor="background2" w:themeShade="80"/>
      <w:sz w:val="18"/>
    </w:rPr>
  </w:style>
  <w:style w:type="character" w:customStyle="1" w:styleId="AnnexHeadChar">
    <w:name w:val="Annex Head Char"/>
    <w:basedOn w:val="Heading1Char"/>
    <w:link w:val="AnnexHead"/>
    <w:rPr>
      <w:rFonts w:ascii="Century Gothic" w:eastAsiaTheme="majorEastAsia" w:hAnsi="Century Gothic" w:cstheme="majorBidi"/>
      <w:b/>
      <w:color w:val="FFC000" w:themeColor="accent4"/>
      <w:sz w:val="40"/>
      <w:szCs w:val="32"/>
    </w:rPr>
  </w:style>
  <w:style w:type="paragraph" w:customStyle="1" w:styleId="FigureCaption">
    <w:name w:val="Figure Caption"/>
    <w:basedOn w:val="TableCaption"/>
    <w:link w:val="FigureCaptionChar"/>
    <w:qFormat/>
  </w:style>
  <w:style w:type="character" w:customStyle="1" w:styleId="TableCaptionChar">
    <w:name w:val="Table Caption Char"/>
    <w:basedOn w:val="DefaultParagraphFont"/>
    <w:link w:val="TableCaption"/>
    <w:rPr>
      <w:rFonts w:ascii="Century Gothic" w:hAnsi="Century Gothic"/>
      <w:i/>
      <w:color w:val="767171" w:themeColor="background2" w:themeShade="80"/>
      <w:sz w:val="18"/>
    </w:rPr>
  </w:style>
  <w:style w:type="paragraph" w:customStyle="1" w:styleId="NumberList">
    <w:name w:val="Number List"/>
    <w:basedOn w:val="FigureCaption"/>
    <w:link w:val="NumberListChar"/>
    <w:qFormat/>
    <w:pPr>
      <w:numPr>
        <w:numId w:val="3"/>
      </w:numPr>
      <w:ind w:left="714" w:hanging="357"/>
      <w:contextualSpacing/>
      <w:jc w:val="left"/>
    </w:pPr>
    <w:rPr>
      <w:i w:val="0"/>
      <w:color w:val="000000" w:themeColor="text1"/>
      <w:sz w:val="20"/>
    </w:rPr>
  </w:style>
  <w:style w:type="character" w:customStyle="1" w:styleId="FigureCaptionChar">
    <w:name w:val="Figure Caption Char"/>
    <w:basedOn w:val="TableCaptionChar"/>
    <w:link w:val="FigureCaption"/>
    <w:rPr>
      <w:rFonts w:ascii="Century Gothic" w:hAnsi="Century Gothic"/>
      <w:i/>
      <w:color w:val="767171" w:themeColor="background2" w:themeShade="80"/>
      <w:sz w:val="18"/>
    </w:rPr>
  </w:style>
  <w:style w:type="paragraph" w:customStyle="1" w:styleId="SubnumberList">
    <w:name w:val="Subnumber List"/>
    <w:basedOn w:val="NumberList"/>
    <w:link w:val="SubnumberListChar"/>
    <w:qFormat/>
    <w:pPr>
      <w:numPr>
        <w:numId w:val="4"/>
      </w:numPr>
      <w:ind w:left="1661" w:hanging="357"/>
    </w:pPr>
  </w:style>
  <w:style w:type="character" w:customStyle="1" w:styleId="NumberListChar">
    <w:name w:val="Number List Char"/>
    <w:basedOn w:val="FigureCaptionChar"/>
    <w:link w:val="NumberList"/>
    <w:qFormat/>
    <w:rPr>
      <w:rFonts w:ascii="Century Gothic" w:hAnsi="Century Gothic"/>
      <w:i w:val="0"/>
      <w:color w:val="000000" w:themeColor="text1"/>
      <w:sz w:val="20"/>
    </w:rPr>
  </w:style>
  <w:style w:type="paragraph" w:customStyle="1" w:styleId="SectionSub-Head">
    <w:name w:val="Section Sub-Head"/>
    <w:basedOn w:val="Heading2"/>
    <w:link w:val="SectionSub-HeadChar"/>
    <w:qFormat/>
    <w:pPr>
      <w:numPr>
        <w:numId w:val="0"/>
      </w:numPr>
    </w:pPr>
  </w:style>
  <w:style w:type="character" w:customStyle="1" w:styleId="SubnumberListChar">
    <w:name w:val="Subnumber List Char"/>
    <w:basedOn w:val="NumberListChar"/>
    <w:link w:val="SubnumberList"/>
    <w:qFormat/>
    <w:rPr>
      <w:rFonts w:ascii="Century Gothic" w:hAnsi="Century Gothic"/>
      <w:i w:val="0"/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entury Gothic" w:eastAsiaTheme="majorEastAsia" w:hAnsi="Century Gothic" w:cstheme="majorBidi"/>
      <w:b/>
      <w:color w:val="222A35" w:themeColor="text2" w:themeShade="80"/>
      <w:szCs w:val="24"/>
    </w:rPr>
  </w:style>
  <w:style w:type="character" w:customStyle="1" w:styleId="SectionSub-HeadChar">
    <w:name w:val="Section Sub-Head Char"/>
    <w:basedOn w:val="Heading2Char"/>
    <w:link w:val="SectionSub-Head"/>
    <w:qFormat/>
    <w:rPr>
      <w:rFonts w:ascii="Century Gothic" w:eastAsiaTheme="majorEastAsia" w:hAnsi="Century Gothic" w:cstheme="majorBidi"/>
      <w:b/>
      <w:color w:val="9BC31A"/>
      <w:sz w:val="32"/>
      <w:szCs w:val="26"/>
      <w:lang w:val="en-GB"/>
    </w:rPr>
  </w:style>
  <w:style w:type="paragraph" w:customStyle="1" w:styleId="Header4">
    <w:name w:val="Header 4"/>
    <w:basedOn w:val="Heading3"/>
    <w:link w:val="Header4Char"/>
    <w:pPr>
      <w:numPr>
        <w:numId w:val="5"/>
      </w:numPr>
    </w:pPr>
    <w:rPr>
      <w:b w:val="0"/>
      <w:color w:val="9BC31A"/>
      <w:sz w:val="20"/>
    </w:rPr>
  </w:style>
  <w:style w:type="paragraph" w:customStyle="1" w:styleId="ToCContent">
    <w:name w:val="ToC Content"/>
    <w:basedOn w:val="Normal"/>
    <w:link w:val="ToCContentChar"/>
    <w:qFormat/>
  </w:style>
  <w:style w:type="character" w:customStyle="1" w:styleId="Header4Char">
    <w:name w:val="Header 4 Char"/>
    <w:basedOn w:val="Heading3Char"/>
    <w:link w:val="Header4"/>
    <w:qFormat/>
    <w:rPr>
      <w:rFonts w:ascii="Century Gothic" w:eastAsiaTheme="majorEastAsia" w:hAnsi="Century Gothic" w:cstheme="majorBidi"/>
      <w:b w:val="0"/>
      <w:color w:val="9BC31A"/>
      <w:sz w:val="20"/>
      <w:szCs w:val="24"/>
    </w:rPr>
  </w:style>
  <w:style w:type="paragraph" w:customStyle="1" w:styleId="Bullets">
    <w:name w:val="Bullets"/>
    <w:basedOn w:val="Normal"/>
    <w:link w:val="BulletsChar"/>
    <w:qFormat/>
    <w:pPr>
      <w:numPr>
        <w:numId w:val="6"/>
      </w:numPr>
      <w:ind w:left="714" w:hanging="357"/>
      <w:contextualSpacing/>
    </w:pPr>
  </w:style>
  <w:style w:type="character" w:customStyle="1" w:styleId="ToCContentChar">
    <w:name w:val="ToC Content Char"/>
    <w:basedOn w:val="DefaultParagraphFont"/>
    <w:link w:val="ToCContent"/>
    <w:qFormat/>
    <w:rPr>
      <w:rFonts w:ascii="Century Gothic" w:hAnsi="Century Gothic"/>
      <w:sz w:val="20"/>
    </w:rPr>
  </w:style>
  <w:style w:type="paragraph" w:customStyle="1" w:styleId="TableText">
    <w:name w:val="Table Text"/>
    <w:basedOn w:val="Normal"/>
    <w:link w:val="TableTextChar"/>
    <w:qFormat/>
    <w:pPr>
      <w:spacing w:before="40" w:after="40" w:line="240" w:lineRule="auto"/>
      <w:jc w:val="left"/>
    </w:pPr>
    <w:rPr>
      <w:color w:val="767171" w:themeColor="background2" w:themeShade="80"/>
      <w:sz w:val="18"/>
    </w:rPr>
  </w:style>
  <w:style w:type="character" w:customStyle="1" w:styleId="BulletsChar">
    <w:name w:val="Bullets Char"/>
    <w:basedOn w:val="DefaultParagraphFont"/>
    <w:link w:val="Bullets"/>
    <w:qFormat/>
    <w:rPr>
      <w:rFonts w:ascii="Century Gothic" w:hAnsi="Century Gothic"/>
      <w:sz w:val="20"/>
      <w:lang w:val="en-GB"/>
    </w:rPr>
  </w:style>
  <w:style w:type="character" w:customStyle="1" w:styleId="TableTextChar">
    <w:name w:val="Table Text Char"/>
    <w:basedOn w:val="DefaultParagraphFont"/>
    <w:link w:val="TableText"/>
    <w:qFormat/>
    <w:rPr>
      <w:rFonts w:ascii="Century Gothic" w:hAnsi="Century Gothic"/>
      <w:color w:val="767171" w:themeColor="background2" w:themeShade="80"/>
      <w:sz w:val="18"/>
      <w:lang w:val="en-GB"/>
    </w:rPr>
  </w:style>
  <w:style w:type="table" w:customStyle="1" w:styleId="TabeladeGrelha3-Destaque41">
    <w:name w:val="Tabela de Grelha 3 - Destaque 41"/>
    <w:basedOn w:val="TableNormal"/>
    <w:uiPriority w:val="48"/>
    <w:qFormat/>
    <w:pPr>
      <w:spacing w:after="0" w:line="240" w:lineRule="auto"/>
    </w:p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itlePageSubheader">
    <w:name w:val="Title Page Subheader"/>
    <w:link w:val="TitlePageSubheaderChar"/>
    <w:pPr>
      <w:framePr w:wrap="around" w:vAnchor="text" w:hAnchor="text" w:y="1"/>
      <w:spacing w:before="240" w:after="0" w:line="240" w:lineRule="auto"/>
    </w:pPr>
    <w:rPr>
      <w:rFonts w:ascii="Century Gothic" w:eastAsia="Calibri" w:hAnsi="Century Gothic" w:cs="Times New Roman"/>
      <w:color w:val="000000" w:themeColor="text1"/>
      <w:sz w:val="44"/>
      <w:lang w:val="en-GB" w:eastAsia="nl-NL"/>
    </w:rPr>
  </w:style>
  <w:style w:type="character" w:customStyle="1" w:styleId="TitlePageSubheaderChar">
    <w:name w:val="Title Page Subheader Char"/>
    <w:link w:val="TitlePageSubheader"/>
    <w:rPr>
      <w:rFonts w:ascii="Century Gothic" w:eastAsia="Calibri" w:hAnsi="Century Gothic" w:cs="Times New Roman"/>
      <w:color w:val="000000" w:themeColor="text1"/>
      <w:sz w:val="44"/>
      <w:szCs w:val="20"/>
      <w:lang w:eastAsia="nl-NL"/>
    </w:rPr>
  </w:style>
  <w:style w:type="paragraph" w:customStyle="1" w:styleId="FooterSecretariat">
    <w:name w:val="Footer Secretariat"/>
    <w:basedOn w:val="Normal"/>
    <w:pPr>
      <w:spacing w:after="0" w:line="312" w:lineRule="auto"/>
    </w:pPr>
    <w:rPr>
      <w:rFonts w:eastAsia="Arial" w:cs="Arial"/>
      <w:color w:val="A6A6A6"/>
      <w:sz w:val="14"/>
      <w:szCs w:val="18"/>
      <w:lang w:eastAsia="fr-FR"/>
    </w:rPr>
  </w:style>
  <w:style w:type="paragraph" w:customStyle="1" w:styleId="Cabealhodondice1">
    <w:name w:val="Cabeçalho do Índice1"/>
    <w:next w:val="Normal"/>
    <w:uiPriority w:val="39"/>
    <w:unhideWhenUsed/>
    <w:qFormat/>
    <w:pPr>
      <w:keepLines/>
      <w:spacing w:before="240" w:after="0" w:line="240" w:lineRule="auto"/>
    </w:pPr>
    <w:rPr>
      <w:rFonts w:ascii="Century Gothic" w:eastAsiaTheme="majorEastAsia" w:hAnsi="Century Gothic" w:cstheme="majorBidi"/>
      <w:b/>
      <w:sz w:val="108"/>
      <w:szCs w:val="32"/>
      <w:lang w:val="en-GB" w:eastAsia="nl-N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6"/>
    <w:qFormat/>
    <w:rPr>
      <w:rFonts w:ascii="Century Gothic" w:hAnsi="Century Gothic"/>
      <w:sz w:val="20"/>
      <w:szCs w:val="20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ETxt">
    <w:name w:val="3E Txt"/>
    <w:basedOn w:val="Normal"/>
    <w:qFormat/>
    <w:pPr>
      <w:spacing w:after="0" w:line="312" w:lineRule="auto"/>
    </w:pPr>
    <w:rPr>
      <w:rFonts w:eastAsia="Arial" w:cs="Arial"/>
      <w:color w:val="222A35" w:themeColor="text2" w:themeShade="80"/>
      <w:sz w:val="22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3EBulletList">
    <w:name w:val="3E Bullet List"/>
    <w:basedOn w:val="Normal"/>
    <w:link w:val="3EBulletListCharChar"/>
    <w:uiPriority w:val="1"/>
    <w:qFormat/>
    <w:pPr>
      <w:numPr>
        <w:numId w:val="7"/>
      </w:numPr>
      <w:spacing w:before="120" w:after="120" w:line="312" w:lineRule="auto"/>
      <w:contextualSpacing/>
      <w:jc w:val="left"/>
    </w:pPr>
    <w:rPr>
      <w:rFonts w:ascii="Open Sans" w:eastAsia="Calibri" w:hAnsi="Open Sans" w:cs="Times New Roman"/>
      <w:i/>
      <w:color w:val="44546A" w:themeColor="text2"/>
      <w:sz w:val="18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uiPriority w:val="4"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TableNumber">
    <w:name w:val="Table Number"/>
    <w:basedOn w:val="TableText"/>
    <w:uiPriority w:val="8"/>
    <w:semiHidden/>
    <w:locked/>
    <w:pPr>
      <w:numPr>
        <w:numId w:val="8"/>
      </w:numPr>
      <w:tabs>
        <w:tab w:val="clear" w:pos="360"/>
      </w:tabs>
      <w:spacing w:before="0" w:after="0" w:line="312" w:lineRule="auto"/>
      <w:jc w:val="both"/>
    </w:pPr>
    <w:rPr>
      <w:rFonts w:ascii="Open Sans" w:eastAsia="Calibri" w:hAnsi="Open Sans" w:cs="Times New Roman"/>
      <w:color w:val="44546A" w:themeColor="text2"/>
      <w:szCs w:val="20"/>
      <w:lang w:eastAsia="nl-NL"/>
    </w:rPr>
  </w:style>
  <w:style w:type="character" w:customStyle="1" w:styleId="3EBulletListCharChar">
    <w:name w:val="3E Bullet List Char Char"/>
    <w:link w:val="3EBulletList"/>
    <w:uiPriority w:val="1"/>
    <w:rPr>
      <w:rFonts w:ascii="Open Sans" w:eastAsia="Calibri" w:hAnsi="Open Sans" w:cs="Times New Roman"/>
      <w:i/>
      <w:color w:val="44546A" w:themeColor="text2"/>
      <w:sz w:val="18"/>
      <w:szCs w:val="20"/>
      <w:lang w:val="en-GB" w:eastAsia="nl-N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GB" w:eastAsia="en-US"/>
    </w:rPr>
  </w:style>
  <w:style w:type="paragraph" w:customStyle="1" w:styleId="TAP-TableHeaderCenter">
    <w:name w:val="TAP - Table Header [Center]"/>
    <w:basedOn w:val="Normal"/>
    <w:pPr>
      <w:spacing w:after="0" w:line="240" w:lineRule="auto"/>
      <w:jc w:val="center"/>
    </w:pPr>
    <w:rPr>
      <w:rFonts w:eastAsia="Times New Roman" w:cs="Times New Roman"/>
      <w:b/>
      <w:bCs/>
      <w:color w:val="FFFFFF"/>
      <w:szCs w:val="24"/>
      <w:lang w:val="en-US"/>
    </w:rPr>
  </w:style>
  <w:style w:type="table" w:customStyle="1" w:styleId="TabelaSimples31">
    <w:name w:val="Tabela Simples 31"/>
    <w:basedOn w:val="TableNormal"/>
    <w:uiPriority w:val="43"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entury Gothic" w:hAnsi="Century Gothic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entury Gothic" w:hAnsi="Century Gothic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Caption"/>
    <w:link w:val="captionChar0"/>
    <w:pPr>
      <w:keepNext/>
    </w:pPr>
  </w:style>
  <w:style w:type="character" w:customStyle="1" w:styleId="CaptionChar">
    <w:name w:val="Caption Char"/>
    <w:basedOn w:val="DefaultParagraphFont"/>
    <w:link w:val="Caption"/>
    <w:uiPriority w:val="3"/>
    <w:qFormat/>
    <w:rPr>
      <w:rFonts w:ascii="Century Gothic" w:eastAsia="Calibri" w:hAnsi="Century Gothic" w:cs="Times New Roman"/>
      <w:iCs/>
      <w:sz w:val="18"/>
      <w:szCs w:val="18"/>
      <w:lang w:eastAsia="nl-NL"/>
    </w:rPr>
  </w:style>
  <w:style w:type="character" w:customStyle="1" w:styleId="captionChar0">
    <w:name w:val="caption Char"/>
    <w:basedOn w:val="CaptionChar"/>
    <w:link w:val="Caption1"/>
    <w:qFormat/>
    <w:rPr>
      <w:rFonts w:ascii="Century Gothic" w:eastAsia="Calibri" w:hAnsi="Century Gothic" w:cs="Times New Roman"/>
      <w:iCs/>
      <w:color w:val="44546A" w:themeColor="text2"/>
      <w:sz w:val="18"/>
      <w:szCs w:val="18"/>
      <w:lang w:eastAsia="nl-NL"/>
    </w:rPr>
  </w:style>
  <w:style w:type="paragraph" w:customStyle="1" w:styleId="Header3">
    <w:name w:val="Header 3"/>
    <w:basedOn w:val="Heading9"/>
    <w:link w:val="Header3Char"/>
    <w:qFormat/>
    <w:pPr>
      <w:spacing w:before="160" w:after="120"/>
    </w:pPr>
    <w:rPr>
      <w:rFonts w:ascii="Century Gothic" w:hAnsi="Century Gothic"/>
      <w:b/>
      <w:i w:val="0"/>
      <w:color w:val="7F7F7F" w:themeColor="text1" w:themeTint="80"/>
      <w:sz w:val="20"/>
    </w:rPr>
  </w:style>
  <w:style w:type="character" w:customStyle="1" w:styleId="Header3Char">
    <w:name w:val="Header 3 Char"/>
    <w:basedOn w:val="Heading9Char"/>
    <w:link w:val="Header3"/>
    <w:rPr>
      <w:rFonts w:ascii="Century Gothic" w:eastAsiaTheme="majorEastAsia" w:hAnsi="Century Gothic" w:cstheme="majorBidi"/>
      <w:b/>
      <w:i w:val="0"/>
      <w:iCs/>
      <w:color w:val="7F7F7F" w:themeColor="text1" w:themeTint="8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publications.jrc.ec.europa.eu/repository/bitstream/JRC112986/jrc112986_kj-nb-29412-en-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uislands.e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F0E51-D4F7-477A-BD6D-3D923ADA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3458</Words>
  <Characters>19713</Characters>
  <Application>Microsoft Office Word</Application>
  <DocSecurity>0</DocSecurity>
  <Lines>164</Lines>
  <Paragraphs>46</Paragraphs>
  <ScaleCrop>false</ScaleCrop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Castanié</dc:creator>
  <cp:lastModifiedBy>Myriam Castanié</cp:lastModifiedBy>
  <cp:revision>30</cp:revision>
  <dcterms:created xsi:type="dcterms:W3CDTF">2019-11-06T11:13:00Z</dcterms:created>
  <dcterms:modified xsi:type="dcterms:W3CDTF">2020-02-04T09:40:00Z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2070-11.2.0.9144</vt:lpwstr>
  </property>
</Properties>
</file>